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  <w:tab w:val="left" w:pos="1080"/>
        </w:tabs>
        <w:spacing w:line="44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附件四：</w:t>
      </w:r>
    </w:p>
    <w:p>
      <w:pPr>
        <w:spacing w:line="44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</w:t>
      </w:r>
    </w:p>
    <w:p>
      <w:pPr>
        <w:numPr>
          <w:ilvl w:val="0"/>
          <w:numId w:val="1"/>
        </w:numPr>
        <w:spacing w:line="440" w:lineRule="exact"/>
        <w:ind w:firstLine="210" w:firstLineChars="1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服务型部门年度考</w:t>
      </w:r>
    </w:p>
    <w:tbl>
      <w:tblPr>
        <w:tblStyle w:val="3"/>
        <w:tblpPr w:leftFromText="180" w:rightFromText="180" w:vertAnchor="text" w:horzAnchor="page" w:tblpX="1980" w:tblpY="2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511"/>
        <w:gridCol w:w="2340"/>
        <w:gridCol w:w="900"/>
        <w:gridCol w:w="900"/>
        <w:gridCol w:w="720"/>
        <w:gridCol w:w="72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9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18"/>
              </w:rPr>
              <w:t>服务型部门考评</w:t>
            </w:r>
            <w:r>
              <w:rPr>
                <w:rFonts w:hint="eastAsia" w:ascii="宋体" w:hAnsi="宋体" w:cs="宋体"/>
                <w:szCs w:val="21"/>
              </w:rPr>
              <w:t>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序号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一级指标</w:t>
            </w:r>
          </w:p>
          <w:p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主要观测点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指标内涵和评分标准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综合服务中心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物业管理服务中心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饮食服务中心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幼教服务中心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物资供应中心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车辆管理服务中心</w:t>
            </w:r>
          </w:p>
          <w:p>
            <w:pPr>
              <w:spacing w:line="4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安全建设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安全生产体系的管理情况及危险源管控体系的管理情况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服务质量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服务保障工作中用户满意度和用户投诉比例的客观情况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校园保障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提高劳动生产率，主要考虑人均营业收入增长率和人均师生服务增长率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经济效益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经营性收益营业收入和营业利润的增长率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工作纪律及效率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人员出勤与休假管理、持证上岗证情况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人才培养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人才培养情况、员工培训情况（安全培训、岗位技能培训、参培率、次数等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文化建设情况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集团文化建设活动中主动组织、参与学校和集团活动的频次及主要成绩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小计得分（100）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</w:tr>
    </w:tbl>
    <w:p>
      <w:pPr>
        <w:spacing w:line="440" w:lineRule="exact"/>
        <w:rPr>
          <w:rFonts w:hint="eastAsia" w:ascii="宋体" w:hAnsi="宋体" w:cs="宋体"/>
          <w:bCs/>
          <w:szCs w:val="21"/>
        </w:rPr>
      </w:pPr>
    </w:p>
    <w:p>
      <w:pPr>
        <w:spacing w:line="440" w:lineRule="exact"/>
        <w:rPr>
          <w:rFonts w:hint="eastAsia" w:ascii="宋体" w:hAnsi="宋体" w:cs="宋体"/>
          <w:bCs/>
          <w:szCs w:val="21"/>
        </w:rPr>
      </w:pPr>
    </w:p>
    <w:p>
      <w:pPr>
        <w:spacing w:line="440" w:lineRule="exact"/>
        <w:rPr>
          <w:rFonts w:hint="eastAsia" w:ascii="宋体" w:hAnsi="宋体" w:cs="宋体"/>
          <w:bCs/>
          <w:szCs w:val="21"/>
        </w:rPr>
      </w:pPr>
    </w:p>
    <w:p>
      <w:pPr>
        <w:spacing w:line="440" w:lineRule="exact"/>
        <w:rPr>
          <w:rFonts w:hint="eastAsia" w:ascii="宋体" w:hAnsi="宋体" w:cs="宋体"/>
          <w:bCs/>
          <w:szCs w:val="21"/>
        </w:rPr>
      </w:pPr>
    </w:p>
    <w:p>
      <w:pPr>
        <w:spacing w:line="440" w:lineRule="exact"/>
        <w:rPr>
          <w:rFonts w:hint="eastAsia" w:ascii="宋体" w:hAnsi="宋体" w:cs="宋体"/>
          <w:bCs/>
          <w:szCs w:val="21"/>
        </w:rPr>
      </w:pPr>
    </w:p>
    <w:p>
      <w:pPr>
        <w:spacing w:line="440" w:lineRule="exact"/>
        <w:rPr>
          <w:rFonts w:hint="eastAsia" w:ascii="宋体" w:hAnsi="宋体" w:cs="宋体"/>
          <w:bCs/>
          <w:szCs w:val="21"/>
        </w:rPr>
      </w:pPr>
    </w:p>
    <w:p>
      <w:pPr>
        <w:spacing w:line="440" w:lineRule="exact"/>
        <w:rPr>
          <w:rFonts w:hint="eastAsia" w:ascii="宋体" w:hAnsi="宋体" w:cs="宋体"/>
          <w:bCs/>
          <w:szCs w:val="21"/>
        </w:rPr>
      </w:pPr>
    </w:p>
    <w:p>
      <w:pPr>
        <w:spacing w:line="440" w:lineRule="exact"/>
        <w:rPr>
          <w:rFonts w:hint="eastAsia" w:ascii="宋体" w:hAnsi="宋体" w:cs="宋体"/>
          <w:bCs/>
          <w:szCs w:val="21"/>
        </w:rPr>
      </w:pPr>
    </w:p>
    <w:p>
      <w:pPr>
        <w:spacing w:line="440" w:lineRule="exact"/>
        <w:rPr>
          <w:rFonts w:hint="eastAsia" w:ascii="宋体" w:hAnsi="宋体" w:cs="宋体"/>
          <w:bCs/>
          <w:szCs w:val="21"/>
        </w:rPr>
      </w:pPr>
    </w:p>
    <w:p>
      <w:pPr>
        <w:spacing w:line="440" w:lineRule="exact"/>
        <w:ind w:firstLine="210" w:firstLineChars="1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Cs/>
          <w:szCs w:val="21"/>
        </w:rPr>
        <w:t>2.</w:t>
      </w:r>
      <w:r>
        <w:rPr>
          <w:rFonts w:hint="eastAsia" w:ascii="宋体" w:hAnsi="宋体" w:cs="宋体"/>
          <w:szCs w:val="21"/>
        </w:rPr>
        <w:t>职能型部门年度考评</w:t>
      </w:r>
    </w:p>
    <w:tbl>
      <w:tblPr>
        <w:tblStyle w:val="2"/>
        <w:tblpPr w:leftFromText="180" w:rightFromText="180" w:vertAnchor="text" w:horzAnchor="page" w:tblpX="1060" w:tblpY="143"/>
        <w:tblOverlap w:val="never"/>
        <w:tblW w:w="10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585"/>
        <w:gridCol w:w="3225"/>
        <w:gridCol w:w="763"/>
        <w:gridCol w:w="1087"/>
        <w:gridCol w:w="1005"/>
        <w:gridCol w:w="1328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195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职能型部门考评</w:t>
            </w:r>
            <w:r>
              <w:rPr>
                <w:rFonts w:hint="eastAsia" w:ascii="宋体" w:hAnsi="宋体" w:cs="宋体"/>
                <w:szCs w:val="21"/>
              </w:rPr>
              <w:t>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序号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一级指标</w:t>
            </w:r>
          </w:p>
          <w:p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主要观测点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指标内涵和评分标准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信息化中心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党政办公室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计划采控中心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人力资源与质量控制部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安全建设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安全生产体系的管理情况及危险源管控体系的管理情况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ind w:right="-391" w:rightChars="-186"/>
              <w:rPr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ind w:right="-391" w:rightChars="-186"/>
              <w:rPr>
                <w:sz w:val="18"/>
                <w:szCs w:val="18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ind w:right="-391" w:rightChars="-186"/>
              <w:rPr>
                <w:sz w:val="18"/>
                <w:szCs w:val="18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ind w:right="-391" w:rightChars="-186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服务质量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服务保障工作中用户满意度和用户投诉比例的客观情况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工作纪律及效率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人员出勤与休假管理、持证上岗证情况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内部控制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在职责范围内对相关部门业务工作的检查、督促情况和办事的公平性、公正性情况（包括指导、检查、督促、培训、组织重要活动或项目工作的成效）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制度执行及创新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部门在内部管理和在集团发展协同方面具有建设性和突破性的，并已取得了实际成效的制度\举措。因部门职能不同，请考评者根据与该部门平时的工作接触和感受给出分数。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人才培养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人才培养情况、员工培训情况（安全培训、岗位技能培训、参培率、次数等）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文化建设情况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集团文化建设活动中主动组织、参与学校和集团活动的频次及主要成绩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5285" w:type="dxa"/>
            <w:gridSpan w:val="3"/>
            <w:noWrap w:val="0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小计得分（100）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spacing w:line="440" w:lineRule="exact"/>
        <w:rPr>
          <w:rFonts w:hint="eastAsia" w:ascii="宋体" w:hAnsi="宋体" w:cs="宋体"/>
          <w:b/>
          <w:szCs w:val="21"/>
        </w:rPr>
      </w:pPr>
    </w:p>
    <w:p>
      <w:pPr>
        <w:rPr>
          <w:rFonts w:hint="eastAsia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F646"/>
    <w:multiLevelType w:val="singleLevel"/>
    <w:tmpl w:val="5681F64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A217F"/>
    <w:rsid w:val="1E3A21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2019-12-25T06:15:00Z</dcterms:created>
  <dc:creator>Administrator</dc:creator>
  <cp:lastModifiedBy>Administrator</cp:lastModifiedBy>
  <dcterms:modified xsi:type="dcterms:W3CDTF">2019-12-25T06:16:11Z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