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1B4AA" w14:textId="77777777" w:rsidR="00247A34" w:rsidRDefault="00BC4D66">
      <w:pPr>
        <w:widowControl/>
        <w:spacing w:line="26" w:lineRule="atLeast"/>
        <w:rPr>
          <w:rFonts w:ascii="宋体" w:hAnsi="宋体" w:cs="宋体"/>
          <w:kern w:val="0"/>
          <w:sz w:val="28"/>
          <w:szCs w:val="28"/>
          <w:shd w:val="clear" w:color="auto" w:fill="FFFFFF"/>
          <w:lang w:bidi="ar"/>
        </w:rPr>
      </w:pPr>
      <w:r>
        <w:rPr>
          <w:rFonts w:ascii="宋体" w:hAnsi="宋体" w:cs="宋体" w:hint="eastAsia"/>
          <w:b/>
          <w:bCs/>
          <w:kern w:val="0"/>
          <w:sz w:val="28"/>
          <w:szCs w:val="28"/>
          <w:shd w:val="clear" w:color="auto" w:fill="FFFFFF"/>
          <w:lang w:bidi="ar"/>
        </w:rPr>
        <w:t>附件一</w:t>
      </w:r>
      <w:r>
        <w:rPr>
          <w:rFonts w:ascii="宋体" w:hAnsi="宋体" w:cs="宋体" w:hint="eastAsia"/>
          <w:kern w:val="0"/>
          <w:sz w:val="28"/>
          <w:szCs w:val="28"/>
          <w:shd w:val="clear" w:color="auto" w:fill="FFFFFF"/>
          <w:lang w:bidi="ar"/>
        </w:rPr>
        <w:t xml:space="preserve">  </w:t>
      </w:r>
      <w:r>
        <w:rPr>
          <w:rFonts w:ascii="宋体" w:hAnsi="宋体" w:cs="宋体" w:hint="eastAsia"/>
          <w:kern w:val="0"/>
          <w:sz w:val="28"/>
          <w:szCs w:val="28"/>
          <w:shd w:val="clear" w:color="auto" w:fill="FFFFFF"/>
          <w:lang w:bidi="ar"/>
        </w:rPr>
        <w:t>报价函（</w:t>
      </w:r>
      <w:proofErr w:type="gramStart"/>
      <w:r>
        <w:rPr>
          <w:rFonts w:ascii="宋体" w:hAnsi="宋体" w:cs="宋体" w:hint="eastAsia"/>
          <w:kern w:val="0"/>
          <w:sz w:val="28"/>
          <w:szCs w:val="28"/>
          <w:shd w:val="clear" w:color="auto" w:fill="FFFFFF"/>
          <w:lang w:bidi="ar"/>
        </w:rPr>
        <w:t>明确总</w:t>
      </w:r>
      <w:proofErr w:type="gramEnd"/>
      <w:r>
        <w:rPr>
          <w:rFonts w:ascii="宋体" w:hAnsi="宋体" w:cs="宋体" w:hint="eastAsia"/>
          <w:kern w:val="0"/>
          <w:sz w:val="28"/>
          <w:szCs w:val="28"/>
          <w:shd w:val="clear" w:color="auto" w:fill="FFFFFF"/>
          <w:lang w:bidi="ar"/>
        </w:rPr>
        <w:t>报价及费用构成，加盖公章）</w:t>
      </w:r>
    </w:p>
    <w:p w14:paraId="66BC67C3" w14:textId="77777777" w:rsidR="00247A34" w:rsidRDefault="00BC4D66">
      <w:pPr>
        <w:pStyle w:val="4"/>
        <w:ind w:left="1260"/>
        <w:jc w:val="center"/>
        <w:rPr>
          <w:sz w:val="24"/>
          <w:szCs w:val="24"/>
        </w:rPr>
      </w:pPr>
      <w:r>
        <w:rPr>
          <w:rFonts w:hint="eastAsia"/>
          <w:sz w:val="24"/>
          <w:szCs w:val="24"/>
        </w:rPr>
        <w:t>2026</w:t>
      </w:r>
      <w:r>
        <w:rPr>
          <w:rFonts w:hint="eastAsia"/>
          <w:sz w:val="24"/>
          <w:szCs w:val="24"/>
        </w:rPr>
        <w:t>年</w:t>
      </w:r>
      <w:r>
        <w:rPr>
          <w:rFonts w:hint="eastAsia"/>
          <w:sz w:val="24"/>
          <w:szCs w:val="24"/>
        </w:rPr>
        <w:t>-2029</w:t>
      </w:r>
      <w:r>
        <w:rPr>
          <w:rFonts w:hint="eastAsia"/>
          <w:sz w:val="24"/>
          <w:szCs w:val="24"/>
        </w:rPr>
        <w:t>年度</w:t>
      </w:r>
      <w:proofErr w:type="gramStart"/>
      <w:r>
        <w:rPr>
          <w:rFonts w:hint="eastAsia"/>
          <w:sz w:val="24"/>
          <w:szCs w:val="24"/>
        </w:rPr>
        <w:t>机动辆</w:t>
      </w:r>
      <w:proofErr w:type="gramEnd"/>
      <w:r>
        <w:rPr>
          <w:rFonts w:hint="eastAsia"/>
          <w:sz w:val="24"/>
          <w:szCs w:val="24"/>
        </w:rPr>
        <w:t>维修服务</w:t>
      </w:r>
      <w:r>
        <w:rPr>
          <w:rFonts w:hint="eastAsia"/>
          <w:sz w:val="24"/>
          <w:szCs w:val="24"/>
        </w:rPr>
        <w:t>报</w:t>
      </w:r>
      <w:r>
        <w:rPr>
          <w:rFonts w:hint="eastAsia"/>
          <w:sz w:val="24"/>
          <w:szCs w:val="24"/>
        </w:rPr>
        <w:t>价单</w:t>
      </w:r>
    </w:p>
    <w:tbl>
      <w:tblPr>
        <w:tblW w:w="14457" w:type="dxa"/>
        <w:tblLayout w:type="fixed"/>
        <w:tblLook w:val="04A0" w:firstRow="1" w:lastRow="0" w:firstColumn="1" w:lastColumn="0" w:noHBand="0" w:noVBand="1"/>
      </w:tblPr>
      <w:tblGrid>
        <w:gridCol w:w="1158"/>
        <w:gridCol w:w="1590"/>
        <w:gridCol w:w="595"/>
        <w:gridCol w:w="879"/>
        <w:gridCol w:w="2348"/>
        <w:gridCol w:w="1178"/>
        <w:gridCol w:w="779"/>
        <w:gridCol w:w="1374"/>
        <w:gridCol w:w="1054"/>
        <w:gridCol w:w="392"/>
        <w:gridCol w:w="236"/>
        <w:gridCol w:w="236"/>
        <w:gridCol w:w="236"/>
        <w:gridCol w:w="210"/>
        <w:gridCol w:w="26"/>
        <w:gridCol w:w="236"/>
        <w:gridCol w:w="236"/>
        <w:gridCol w:w="236"/>
        <w:gridCol w:w="236"/>
        <w:gridCol w:w="236"/>
        <w:gridCol w:w="146"/>
        <w:gridCol w:w="90"/>
        <w:gridCol w:w="236"/>
        <w:gridCol w:w="236"/>
        <w:gridCol w:w="278"/>
      </w:tblGrid>
      <w:tr w:rsidR="00247A34" w14:paraId="23DB8778" w14:textId="77777777">
        <w:trPr>
          <w:trHeight w:val="365"/>
        </w:trPr>
        <w:tc>
          <w:tcPr>
            <w:tcW w:w="8655" w:type="dxa"/>
            <w:gridSpan w:val="7"/>
            <w:tcBorders>
              <w:top w:val="single" w:sz="4" w:space="0" w:color="000000"/>
              <w:left w:val="single" w:sz="4" w:space="0" w:color="000000"/>
              <w:bottom w:val="single" w:sz="4" w:space="0" w:color="000000"/>
              <w:right w:val="dotDash" w:sz="8" w:space="0" w:color="000000"/>
            </w:tcBorders>
            <w:shd w:val="clear" w:color="auto" w:fill="auto"/>
            <w:noWrap/>
            <w:vAlign w:val="center"/>
          </w:tcPr>
          <w:p w14:paraId="459C9FE7" w14:textId="77777777" w:rsidR="00247A34" w:rsidRDefault="00247A34">
            <w:pPr>
              <w:widowControl/>
              <w:jc w:val="left"/>
              <w:textAlignment w:val="center"/>
              <w:rPr>
                <w:rFonts w:ascii="仿宋_GB2312" w:eastAsia="仿宋_GB2312" w:hAnsi="宋体" w:cs="仿宋_GB2312"/>
                <w:color w:val="000000"/>
                <w:sz w:val="24"/>
              </w:rPr>
            </w:pPr>
          </w:p>
        </w:tc>
        <w:tc>
          <w:tcPr>
            <w:tcW w:w="5802" w:type="dxa"/>
            <w:gridSpan w:val="18"/>
            <w:tcBorders>
              <w:top w:val="single" w:sz="4" w:space="0" w:color="000000"/>
              <w:left w:val="dotDash" w:sz="8" w:space="0" w:color="000000"/>
              <w:bottom w:val="single" w:sz="4" w:space="0" w:color="000000"/>
              <w:right w:val="dotDash" w:sz="8" w:space="0" w:color="000000"/>
            </w:tcBorders>
            <w:shd w:val="clear" w:color="auto" w:fill="auto"/>
            <w:noWrap/>
            <w:vAlign w:val="center"/>
          </w:tcPr>
          <w:p w14:paraId="79D2C271" w14:textId="77777777" w:rsidR="00247A34" w:rsidRDefault="00BC4D66">
            <w:pPr>
              <w:widowControl/>
              <w:jc w:val="righ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供应商报价时间：</w:t>
            </w:r>
            <w:r>
              <w:rPr>
                <w:rFonts w:ascii="仿宋_GB2312" w:eastAsia="仿宋_GB2312" w:hAnsi="宋体" w:cs="仿宋_GB2312"/>
                <w:color w:val="000000"/>
                <w:kern w:val="0"/>
                <w:sz w:val="24"/>
                <w:lang w:bidi="ar"/>
              </w:rPr>
              <w:t xml:space="preserve">   </w:t>
            </w:r>
            <w:r>
              <w:rPr>
                <w:rFonts w:ascii="仿宋_GB2312" w:eastAsia="仿宋_GB2312" w:hAnsi="宋体" w:cs="仿宋_GB2312"/>
                <w:color w:val="000000"/>
                <w:kern w:val="0"/>
                <w:sz w:val="24"/>
                <w:lang w:bidi="ar"/>
              </w:rPr>
              <w:t>年</w:t>
            </w:r>
            <w:r>
              <w:rPr>
                <w:rFonts w:ascii="仿宋_GB2312" w:eastAsia="仿宋_GB2312" w:hAnsi="宋体" w:cs="仿宋_GB2312"/>
                <w:color w:val="000000"/>
                <w:kern w:val="0"/>
                <w:sz w:val="24"/>
                <w:lang w:bidi="ar"/>
              </w:rPr>
              <w:t xml:space="preserve">   </w:t>
            </w:r>
            <w:r>
              <w:rPr>
                <w:rFonts w:ascii="仿宋_GB2312" w:eastAsia="仿宋_GB2312" w:hAnsi="宋体" w:cs="仿宋_GB2312"/>
                <w:color w:val="000000"/>
                <w:kern w:val="0"/>
                <w:sz w:val="24"/>
                <w:lang w:bidi="ar"/>
              </w:rPr>
              <w:t>月</w:t>
            </w:r>
            <w:r>
              <w:rPr>
                <w:rFonts w:ascii="仿宋_GB2312" w:eastAsia="仿宋_GB2312" w:hAnsi="宋体" w:cs="仿宋_GB2312"/>
                <w:color w:val="000000"/>
                <w:kern w:val="0"/>
                <w:sz w:val="24"/>
                <w:lang w:bidi="ar"/>
              </w:rPr>
              <w:t xml:space="preserve">   </w:t>
            </w:r>
            <w:r>
              <w:rPr>
                <w:rFonts w:ascii="仿宋_GB2312" w:eastAsia="仿宋_GB2312" w:hAnsi="宋体" w:cs="仿宋_GB2312"/>
                <w:color w:val="000000"/>
                <w:kern w:val="0"/>
                <w:sz w:val="24"/>
                <w:lang w:bidi="ar"/>
              </w:rPr>
              <w:t>日</w:t>
            </w:r>
          </w:p>
        </w:tc>
      </w:tr>
      <w:tr w:rsidR="00247A34" w14:paraId="343EBB8F" w14:textId="77777777">
        <w:trPr>
          <w:trHeight w:val="339"/>
        </w:trPr>
        <w:tc>
          <w:tcPr>
            <w:tcW w:w="3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D3EEBF"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采购人全称</w:t>
            </w:r>
          </w:p>
        </w:tc>
        <w:tc>
          <w:tcPr>
            <w:tcW w:w="5262" w:type="dxa"/>
            <w:gridSpan w:val="4"/>
            <w:tcBorders>
              <w:top w:val="single" w:sz="4" w:space="0" w:color="000000"/>
              <w:left w:val="nil"/>
              <w:bottom w:val="single" w:sz="4" w:space="0" w:color="000000"/>
              <w:right w:val="dotDash" w:sz="8" w:space="0" w:color="000000"/>
            </w:tcBorders>
            <w:shd w:val="clear" w:color="auto" w:fill="auto"/>
            <w:vAlign w:val="center"/>
          </w:tcPr>
          <w:p w14:paraId="5C3A4B3E"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中国药科大学</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89F0A"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供应商全称（公章）</w:t>
            </w:r>
          </w:p>
        </w:tc>
        <w:tc>
          <w:tcPr>
            <w:tcW w:w="3338"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A677E2A" w14:textId="77777777" w:rsidR="00247A34" w:rsidRDefault="00247A34">
            <w:pPr>
              <w:jc w:val="center"/>
              <w:rPr>
                <w:rFonts w:ascii="仿宋_GB2312" w:eastAsia="仿宋_GB2312" w:hAnsi="宋体" w:cs="仿宋_GB2312"/>
                <w:color w:val="000000"/>
                <w:sz w:val="24"/>
              </w:rPr>
            </w:pPr>
          </w:p>
        </w:tc>
      </w:tr>
      <w:tr w:rsidR="00247A34" w14:paraId="5A6D727A" w14:textId="77777777">
        <w:trPr>
          <w:trHeight w:val="312"/>
        </w:trPr>
        <w:tc>
          <w:tcPr>
            <w:tcW w:w="33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6668FD"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采购人详细地址</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5846C0"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南京市鼓楼区童家巷</w:t>
            </w:r>
            <w:r>
              <w:rPr>
                <w:rFonts w:ascii="仿宋_GB2312" w:eastAsia="仿宋_GB2312" w:hAnsi="宋体" w:cs="仿宋_GB2312"/>
                <w:color w:val="000000"/>
                <w:kern w:val="0"/>
                <w:sz w:val="24"/>
                <w:lang w:bidi="ar"/>
              </w:rPr>
              <w:t>24</w:t>
            </w:r>
            <w:r>
              <w:rPr>
                <w:rFonts w:ascii="仿宋_GB2312" w:eastAsia="仿宋_GB2312" w:hAnsi="宋体" w:cs="仿宋_GB2312"/>
                <w:color w:val="000000"/>
                <w:kern w:val="0"/>
                <w:sz w:val="24"/>
                <w:lang w:bidi="ar"/>
              </w:rPr>
              <w:t>号</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91D9E2"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供应商地址</w:t>
            </w:r>
          </w:p>
        </w:tc>
        <w:tc>
          <w:tcPr>
            <w:tcW w:w="3338"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51F07DA" w14:textId="77777777" w:rsidR="00247A34" w:rsidRDefault="00247A34">
            <w:pPr>
              <w:jc w:val="center"/>
              <w:rPr>
                <w:rFonts w:ascii="仿宋_GB2312" w:eastAsia="仿宋_GB2312" w:hAnsi="宋体" w:cs="仿宋_GB2312"/>
                <w:color w:val="000000"/>
                <w:sz w:val="24"/>
              </w:rPr>
            </w:pPr>
          </w:p>
        </w:tc>
      </w:tr>
      <w:tr w:rsidR="00247A34" w14:paraId="6B9F8FBC" w14:textId="77777777">
        <w:trPr>
          <w:trHeight w:val="338"/>
        </w:trPr>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A31E"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经办人</w:t>
            </w:r>
          </w:p>
        </w:tc>
        <w:tc>
          <w:tcPr>
            <w:tcW w:w="22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CBF07A" w14:textId="77777777" w:rsidR="00247A34" w:rsidRDefault="00247A34">
            <w:pPr>
              <w:jc w:val="center"/>
              <w:rPr>
                <w:rFonts w:ascii="仿宋_GB2312" w:eastAsia="仿宋_GB2312" w:hAnsi="宋体" w:cs="仿宋_GB2312"/>
                <w:color w:val="000000"/>
                <w:sz w:val="24"/>
              </w:rPr>
            </w:pPr>
          </w:p>
        </w:tc>
        <w:tc>
          <w:tcPr>
            <w:tcW w:w="3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AB15BE"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联系电话</w:t>
            </w:r>
          </w:p>
        </w:tc>
        <w:tc>
          <w:tcPr>
            <w:tcW w:w="1984" w:type="dxa"/>
            <w:gridSpan w:val="2"/>
            <w:tcBorders>
              <w:top w:val="single" w:sz="4" w:space="0" w:color="000000"/>
              <w:left w:val="single" w:sz="4" w:space="0" w:color="000000"/>
              <w:bottom w:val="single" w:sz="4" w:space="0" w:color="000000"/>
              <w:right w:val="nil"/>
            </w:tcBorders>
            <w:shd w:val="clear" w:color="auto" w:fill="auto"/>
            <w:vAlign w:val="center"/>
          </w:tcPr>
          <w:p w14:paraId="4213DBFC" w14:textId="77777777" w:rsidR="00247A34" w:rsidRDefault="00247A34">
            <w:pPr>
              <w:jc w:val="center"/>
              <w:rPr>
                <w:rFonts w:ascii="Times New Roman" w:hAnsi="Times New Roman"/>
                <w:color w:val="000000"/>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BA44"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联系人</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71041" w14:textId="77777777" w:rsidR="00247A34" w:rsidRDefault="00247A34">
            <w:pPr>
              <w:rPr>
                <w:rFonts w:ascii="仿宋_GB2312" w:eastAsia="仿宋_GB2312" w:hAnsi="宋体" w:cs="仿宋_GB2312"/>
                <w:color w:val="000000"/>
                <w:sz w:val="24"/>
              </w:rPr>
            </w:pPr>
          </w:p>
        </w:tc>
        <w:tc>
          <w:tcPr>
            <w:tcW w:w="12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D91AB8"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联系电话</w:t>
            </w:r>
          </w:p>
        </w:tc>
        <w:tc>
          <w:tcPr>
            <w:tcW w:w="2075"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B13FB" w14:textId="77777777" w:rsidR="00247A34" w:rsidRDefault="00247A34">
            <w:pPr>
              <w:jc w:val="center"/>
              <w:rPr>
                <w:rFonts w:ascii="仿宋_GB2312" w:eastAsia="仿宋_GB2312" w:hAnsi="宋体" w:cs="仿宋_GB2312"/>
                <w:color w:val="000000"/>
                <w:sz w:val="24"/>
              </w:rPr>
            </w:pPr>
          </w:p>
        </w:tc>
      </w:tr>
      <w:tr w:rsidR="00247A34" w14:paraId="1E9FAECF" w14:textId="77777777">
        <w:trPr>
          <w:trHeight w:val="356"/>
        </w:trPr>
        <w:tc>
          <w:tcPr>
            <w:tcW w:w="1176" w:type="dxa"/>
            <w:vMerge w:val="restart"/>
            <w:tcBorders>
              <w:top w:val="single" w:sz="4" w:space="0" w:color="000000"/>
              <w:left w:val="single" w:sz="4" w:space="0" w:color="000000"/>
              <w:bottom w:val="nil"/>
              <w:right w:val="single" w:sz="4" w:space="0" w:color="000000"/>
            </w:tcBorders>
            <w:shd w:val="clear" w:color="auto" w:fill="auto"/>
            <w:vAlign w:val="center"/>
          </w:tcPr>
          <w:p w14:paraId="1FC8CA7A"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项目名称</w:t>
            </w:r>
          </w:p>
        </w:tc>
        <w:tc>
          <w:tcPr>
            <w:tcW w:w="1615" w:type="dxa"/>
            <w:vMerge w:val="restart"/>
            <w:tcBorders>
              <w:top w:val="single" w:sz="4" w:space="0" w:color="000000"/>
              <w:left w:val="single" w:sz="4" w:space="0" w:color="000000"/>
              <w:bottom w:val="nil"/>
              <w:right w:val="single" w:sz="4" w:space="0" w:color="000000"/>
            </w:tcBorders>
            <w:shd w:val="clear" w:color="auto" w:fill="auto"/>
            <w:vAlign w:val="center"/>
          </w:tcPr>
          <w:p w14:paraId="3EAF5ED7"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项目明细</w:t>
            </w:r>
          </w:p>
        </w:tc>
        <w:tc>
          <w:tcPr>
            <w:tcW w:w="602" w:type="dxa"/>
            <w:vMerge w:val="restart"/>
            <w:tcBorders>
              <w:top w:val="single" w:sz="4" w:space="0" w:color="000000"/>
              <w:left w:val="single" w:sz="4" w:space="0" w:color="000000"/>
              <w:bottom w:val="nil"/>
              <w:right w:val="single" w:sz="4" w:space="0" w:color="000000"/>
            </w:tcBorders>
            <w:shd w:val="clear" w:color="auto" w:fill="auto"/>
            <w:vAlign w:val="center"/>
          </w:tcPr>
          <w:p w14:paraId="59411892"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数量</w:t>
            </w:r>
          </w:p>
        </w:tc>
        <w:tc>
          <w:tcPr>
            <w:tcW w:w="891" w:type="dxa"/>
            <w:vMerge w:val="restart"/>
            <w:tcBorders>
              <w:top w:val="single" w:sz="4" w:space="0" w:color="000000"/>
              <w:left w:val="single" w:sz="4" w:space="0" w:color="000000"/>
              <w:bottom w:val="nil"/>
              <w:right w:val="single" w:sz="4" w:space="0" w:color="000000"/>
            </w:tcBorders>
            <w:shd w:val="clear" w:color="auto" w:fill="auto"/>
            <w:vAlign w:val="center"/>
          </w:tcPr>
          <w:p w14:paraId="533B85B1"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预算单价（元）</w:t>
            </w:r>
          </w:p>
        </w:tc>
        <w:tc>
          <w:tcPr>
            <w:tcW w:w="2387" w:type="dxa"/>
            <w:vMerge w:val="restart"/>
            <w:tcBorders>
              <w:top w:val="single" w:sz="4" w:space="0" w:color="000000"/>
              <w:left w:val="single" w:sz="4" w:space="0" w:color="000000"/>
              <w:bottom w:val="nil"/>
              <w:right w:val="single" w:sz="4" w:space="0" w:color="000000"/>
            </w:tcBorders>
            <w:shd w:val="clear" w:color="auto" w:fill="auto"/>
            <w:vAlign w:val="center"/>
          </w:tcPr>
          <w:p w14:paraId="5862E82A"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项目需求</w:t>
            </w:r>
          </w:p>
        </w:tc>
        <w:tc>
          <w:tcPr>
            <w:tcW w:w="1195" w:type="dxa"/>
            <w:vMerge w:val="restart"/>
            <w:tcBorders>
              <w:top w:val="single" w:sz="4" w:space="0" w:color="000000"/>
              <w:left w:val="single" w:sz="4" w:space="0" w:color="000000"/>
              <w:bottom w:val="nil"/>
              <w:right w:val="single" w:sz="4" w:space="0" w:color="000000"/>
            </w:tcBorders>
            <w:shd w:val="clear" w:color="auto" w:fill="auto"/>
            <w:vAlign w:val="center"/>
          </w:tcPr>
          <w:p w14:paraId="02BEE589"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服务</w:t>
            </w:r>
            <w:r>
              <w:rPr>
                <w:rFonts w:ascii="仿宋_GB2312" w:eastAsia="仿宋_GB2312" w:hAnsi="宋体" w:cs="仿宋_GB2312"/>
                <w:color w:val="000000"/>
                <w:kern w:val="0"/>
                <w:sz w:val="24"/>
                <w:lang w:bidi="ar"/>
              </w:rPr>
              <w:br/>
            </w:r>
            <w:r>
              <w:rPr>
                <w:rFonts w:ascii="仿宋_GB2312" w:eastAsia="仿宋_GB2312" w:hAnsi="宋体" w:cs="仿宋_GB2312"/>
                <w:color w:val="000000"/>
                <w:kern w:val="0"/>
                <w:sz w:val="24"/>
                <w:lang w:bidi="ar"/>
              </w:rPr>
              <w:t>时间</w:t>
            </w:r>
          </w:p>
        </w:tc>
        <w:tc>
          <w:tcPr>
            <w:tcW w:w="789" w:type="dxa"/>
            <w:vMerge w:val="restart"/>
            <w:tcBorders>
              <w:top w:val="single" w:sz="4" w:space="0" w:color="000000"/>
              <w:left w:val="single" w:sz="4" w:space="0" w:color="000000"/>
              <w:bottom w:val="nil"/>
              <w:right w:val="nil"/>
            </w:tcBorders>
            <w:shd w:val="clear" w:color="auto" w:fill="auto"/>
            <w:vAlign w:val="center"/>
          </w:tcPr>
          <w:p w14:paraId="3ED39EEF"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服务地点</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48D14F"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工时费用</w:t>
            </w:r>
          </w:p>
        </w:tc>
        <w:tc>
          <w:tcPr>
            <w:tcW w:w="12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623EA9"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材料进销差价率</w:t>
            </w:r>
            <w:r>
              <w:rPr>
                <w:rFonts w:ascii="仿宋_GB2312" w:eastAsia="仿宋_GB2312" w:hAnsi="宋体" w:cs="仿宋_GB2312"/>
                <w:color w:val="000000"/>
                <w:kern w:val="0"/>
                <w:sz w:val="24"/>
                <w:lang w:bidi="ar"/>
              </w:rPr>
              <w:t>%</w:t>
            </w:r>
          </w:p>
        </w:tc>
        <w:tc>
          <w:tcPr>
            <w:tcW w:w="126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109125"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项目需求能否完全满足</w:t>
            </w:r>
          </w:p>
        </w:tc>
        <w:tc>
          <w:tcPr>
            <w:tcW w:w="8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EDE80"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服务承诺</w:t>
            </w:r>
          </w:p>
        </w:tc>
      </w:tr>
      <w:tr w:rsidR="00247A34" w14:paraId="533C368F" w14:textId="77777777">
        <w:trPr>
          <w:trHeight w:val="544"/>
        </w:trPr>
        <w:tc>
          <w:tcPr>
            <w:tcW w:w="1176" w:type="dxa"/>
            <w:vMerge/>
            <w:tcBorders>
              <w:top w:val="single" w:sz="4" w:space="0" w:color="000000"/>
              <w:left w:val="single" w:sz="4" w:space="0" w:color="000000"/>
              <w:bottom w:val="nil"/>
              <w:right w:val="single" w:sz="4" w:space="0" w:color="000000"/>
            </w:tcBorders>
            <w:shd w:val="clear" w:color="auto" w:fill="auto"/>
            <w:vAlign w:val="center"/>
          </w:tcPr>
          <w:p w14:paraId="1D75CD2E" w14:textId="77777777" w:rsidR="00247A34" w:rsidRDefault="00247A34">
            <w:pPr>
              <w:jc w:val="center"/>
              <w:rPr>
                <w:rFonts w:ascii="仿宋_GB2312" w:eastAsia="仿宋_GB2312" w:hAnsi="宋体" w:cs="仿宋_GB2312"/>
                <w:color w:val="000000"/>
                <w:sz w:val="24"/>
              </w:rPr>
            </w:pPr>
          </w:p>
        </w:tc>
        <w:tc>
          <w:tcPr>
            <w:tcW w:w="1615" w:type="dxa"/>
            <w:vMerge/>
            <w:tcBorders>
              <w:top w:val="single" w:sz="4" w:space="0" w:color="000000"/>
              <w:left w:val="single" w:sz="4" w:space="0" w:color="000000"/>
              <w:bottom w:val="nil"/>
              <w:right w:val="single" w:sz="4" w:space="0" w:color="000000"/>
            </w:tcBorders>
            <w:shd w:val="clear" w:color="auto" w:fill="auto"/>
            <w:vAlign w:val="center"/>
          </w:tcPr>
          <w:p w14:paraId="1B54D986" w14:textId="77777777" w:rsidR="00247A34" w:rsidRDefault="00247A34">
            <w:pPr>
              <w:jc w:val="center"/>
              <w:rPr>
                <w:rFonts w:ascii="仿宋_GB2312" w:eastAsia="仿宋_GB2312" w:hAnsi="宋体" w:cs="仿宋_GB2312"/>
                <w:color w:val="000000"/>
                <w:sz w:val="24"/>
              </w:rPr>
            </w:pPr>
          </w:p>
        </w:tc>
        <w:tc>
          <w:tcPr>
            <w:tcW w:w="602" w:type="dxa"/>
            <w:vMerge/>
            <w:tcBorders>
              <w:top w:val="single" w:sz="4" w:space="0" w:color="000000"/>
              <w:left w:val="single" w:sz="4" w:space="0" w:color="000000"/>
              <w:bottom w:val="nil"/>
              <w:right w:val="single" w:sz="4" w:space="0" w:color="000000"/>
            </w:tcBorders>
            <w:shd w:val="clear" w:color="auto" w:fill="auto"/>
            <w:vAlign w:val="center"/>
          </w:tcPr>
          <w:p w14:paraId="72912FFC" w14:textId="77777777" w:rsidR="00247A34" w:rsidRDefault="00247A34">
            <w:pPr>
              <w:jc w:val="center"/>
              <w:rPr>
                <w:rFonts w:ascii="仿宋_GB2312" w:eastAsia="仿宋_GB2312" w:hAnsi="宋体" w:cs="仿宋_GB2312"/>
                <w:color w:val="000000"/>
                <w:sz w:val="24"/>
              </w:rPr>
            </w:pPr>
          </w:p>
        </w:tc>
        <w:tc>
          <w:tcPr>
            <w:tcW w:w="891" w:type="dxa"/>
            <w:vMerge/>
            <w:tcBorders>
              <w:top w:val="single" w:sz="4" w:space="0" w:color="000000"/>
              <w:left w:val="single" w:sz="4" w:space="0" w:color="000000"/>
              <w:bottom w:val="nil"/>
              <w:right w:val="single" w:sz="4" w:space="0" w:color="000000"/>
            </w:tcBorders>
            <w:shd w:val="clear" w:color="auto" w:fill="auto"/>
            <w:vAlign w:val="center"/>
          </w:tcPr>
          <w:p w14:paraId="43074231" w14:textId="77777777" w:rsidR="00247A34" w:rsidRDefault="00247A34">
            <w:pPr>
              <w:jc w:val="center"/>
              <w:rPr>
                <w:rFonts w:ascii="仿宋_GB2312" w:eastAsia="仿宋_GB2312" w:hAnsi="宋体" w:cs="仿宋_GB2312"/>
                <w:color w:val="000000"/>
                <w:sz w:val="24"/>
              </w:rPr>
            </w:pPr>
          </w:p>
        </w:tc>
        <w:tc>
          <w:tcPr>
            <w:tcW w:w="2387" w:type="dxa"/>
            <w:vMerge/>
            <w:tcBorders>
              <w:top w:val="single" w:sz="4" w:space="0" w:color="000000"/>
              <w:left w:val="single" w:sz="4" w:space="0" w:color="000000"/>
              <w:bottom w:val="nil"/>
              <w:right w:val="single" w:sz="4" w:space="0" w:color="000000"/>
            </w:tcBorders>
            <w:shd w:val="clear" w:color="auto" w:fill="auto"/>
            <w:vAlign w:val="center"/>
          </w:tcPr>
          <w:p w14:paraId="69D239AA" w14:textId="77777777" w:rsidR="00247A34" w:rsidRDefault="00247A34">
            <w:pPr>
              <w:jc w:val="center"/>
              <w:rPr>
                <w:rFonts w:ascii="仿宋_GB2312" w:eastAsia="仿宋_GB2312" w:hAnsi="宋体" w:cs="仿宋_GB2312"/>
                <w:color w:val="000000"/>
                <w:sz w:val="24"/>
              </w:rPr>
            </w:pPr>
          </w:p>
        </w:tc>
        <w:tc>
          <w:tcPr>
            <w:tcW w:w="1195" w:type="dxa"/>
            <w:vMerge/>
            <w:tcBorders>
              <w:top w:val="single" w:sz="4" w:space="0" w:color="000000"/>
              <w:left w:val="single" w:sz="4" w:space="0" w:color="000000"/>
              <w:bottom w:val="nil"/>
              <w:right w:val="single" w:sz="4" w:space="0" w:color="000000"/>
            </w:tcBorders>
            <w:shd w:val="clear" w:color="auto" w:fill="auto"/>
            <w:vAlign w:val="center"/>
          </w:tcPr>
          <w:p w14:paraId="0BF791E5" w14:textId="77777777" w:rsidR="00247A34" w:rsidRDefault="00247A34">
            <w:pPr>
              <w:jc w:val="center"/>
              <w:rPr>
                <w:rFonts w:ascii="仿宋_GB2312" w:eastAsia="仿宋_GB2312" w:hAnsi="宋体" w:cs="仿宋_GB2312"/>
                <w:color w:val="000000"/>
                <w:sz w:val="24"/>
              </w:rPr>
            </w:pPr>
          </w:p>
        </w:tc>
        <w:tc>
          <w:tcPr>
            <w:tcW w:w="789" w:type="dxa"/>
            <w:vMerge/>
            <w:tcBorders>
              <w:top w:val="single" w:sz="4" w:space="0" w:color="000000"/>
              <w:left w:val="single" w:sz="4" w:space="0" w:color="000000"/>
              <w:bottom w:val="nil"/>
              <w:right w:val="nil"/>
            </w:tcBorders>
            <w:shd w:val="clear" w:color="auto" w:fill="auto"/>
            <w:vAlign w:val="center"/>
          </w:tcPr>
          <w:p w14:paraId="6DD496F9" w14:textId="77777777" w:rsidR="00247A34" w:rsidRDefault="00247A34">
            <w:pPr>
              <w:jc w:val="center"/>
              <w:rPr>
                <w:rFonts w:ascii="仿宋_GB2312" w:eastAsia="仿宋_GB2312" w:hAnsi="宋体" w:cs="仿宋_GB2312"/>
                <w:color w:val="000000"/>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1358E"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工时单价</w:t>
            </w:r>
            <w:r>
              <w:rPr>
                <w:rFonts w:ascii="仿宋_GB2312" w:eastAsia="仿宋_GB2312" w:hAnsi="宋体" w:cs="仿宋_GB2312"/>
                <w:color w:val="000000"/>
                <w:kern w:val="0"/>
                <w:sz w:val="24"/>
                <w:lang w:bidi="ar"/>
              </w:rPr>
              <w:t>(</w:t>
            </w:r>
            <w:r>
              <w:rPr>
                <w:rFonts w:ascii="仿宋_GB2312" w:eastAsia="仿宋_GB2312" w:hAnsi="宋体" w:cs="仿宋_GB2312"/>
                <w:color w:val="000000"/>
                <w:kern w:val="0"/>
                <w:sz w:val="24"/>
                <w:lang w:bidi="ar"/>
              </w:rPr>
              <w:t>元</w:t>
            </w:r>
            <w:r>
              <w:rPr>
                <w:rFonts w:ascii="仿宋_GB2312" w:eastAsia="仿宋_GB2312" w:hAnsi="宋体" w:cs="仿宋_GB2312"/>
                <w:color w:val="000000"/>
                <w:kern w:val="0"/>
                <w:sz w:val="24"/>
                <w:lang w:bidi="ar"/>
              </w:rPr>
              <w:t>/</w:t>
            </w:r>
            <w:r>
              <w:rPr>
                <w:rFonts w:ascii="仿宋_GB2312" w:eastAsia="仿宋_GB2312" w:hAnsi="宋体" w:cs="仿宋_GB2312"/>
                <w:color w:val="000000"/>
                <w:kern w:val="0"/>
                <w:sz w:val="24"/>
                <w:lang w:bidi="ar"/>
              </w:rPr>
              <w:t>工时</w:t>
            </w:r>
            <w:r>
              <w:rPr>
                <w:rFonts w:ascii="仿宋_GB2312" w:eastAsia="仿宋_GB2312" w:hAnsi="宋体" w:cs="仿宋_GB2312"/>
                <w:color w:val="000000"/>
                <w:kern w:val="0"/>
                <w:sz w:val="24"/>
                <w:lang w:bidi="ar"/>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294A"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工时定额</w:t>
            </w:r>
          </w:p>
        </w:tc>
        <w:tc>
          <w:tcPr>
            <w:tcW w:w="12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BE790" w14:textId="77777777" w:rsidR="00247A34" w:rsidRDefault="00247A34">
            <w:pPr>
              <w:jc w:val="center"/>
              <w:rPr>
                <w:rFonts w:ascii="仿宋_GB2312" w:eastAsia="仿宋_GB2312" w:hAnsi="宋体" w:cs="仿宋_GB2312"/>
                <w:color w:val="000000"/>
                <w:sz w:val="24"/>
              </w:rPr>
            </w:pPr>
          </w:p>
        </w:tc>
        <w:tc>
          <w:tcPr>
            <w:tcW w:w="1265"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0954B" w14:textId="77777777" w:rsidR="00247A34" w:rsidRDefault="00247A34">
            <w:pPr>
              <w:jc w:val="center"/>
              <w:rPr>
                <w:rFonts w:ascii="仿宋_GB2312" w:eastAsia="仿宋_GB2312" w:hAnsi="宋体" w:cs="仿宋_GB2312"/>
                <w:color w:val="000000"/>
                <w:sz w:val="24"/>
              </w:rPr>
            </w:pPr>
          </w:p>
        </w:tc>
        <w:tc>
          <w:tcPr>
            <w:tcW w:w="81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5A62F" w14:textId="77777777" w:rsidR="00247A34" w:rsidRDefault="00247A34">
            <w:pPr>
              <w:jc w:val="center"/>
              <w:rPr>
                <w:rFonts w:ascii="仿宋_GB2312" w:eastAsia="仿宋_GB2312" w:hAnsi="宋体" w:cs="仿宋_GB2312"/>
                <w:color w:val="000000"/>
                <w:sz w:val="24"/>
              </w:rPr>
            </w:pPr>
          </w:p>
        </w:tc>
      </w:tr>
      <w:tr w:rsidR="00247A34" w14:paraId="37D84DAA" w14:textId="77777777">
        <w:trPr>
          <w:trHeight w:val="1440"/>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BA6C54"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车</w:t>
            </w:r>
            <w:r>
              <w:rPr>
                <w:rFonts w:ascii="仿宋_GB2312" w:eastAsia="仿宋_GB2312" w:hAnsi="宋体" w:cs="仿宋_GB2312" w:hint="eastAsia"/>
                <w:color w:val="000000"/>
                <w:kern w:val="0"/>
                <w:sz w:val="24"/>
                <w:lang w:bidi="ar"/>
              </w:rPr>
              <w:t>辆</w:t>
            </w:r>
            <w:r>
              <w:rPr>
                <w:rFonts w:ascii="仿宋_GB2312" w:eastAsia="仿宋_GB2312" w:hAnsi="宋体" w:cs="仿宋_GB2312"/>
                <w:color w:val="000000"/>
                <w:kern w:val="0"/>
                <w:sz w:val="24"/>
                <w:lang w:bidi="ar"/>
              </w:rPr>
              <w:t>维修保养</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E5EFA" w14:textId="77777777" w:rsidR="00247A34" w:rsidRDefault="00BC4D66">
            <w:pPr>
              <w:widowControl/>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小轿车</w:t>
            </w:r>
            <w:r>
              <w:rPr>
                <w:rFonts w:ascii="仿宋_GB2312" w:eastAsia="仿宋_GB2312" w:hAnsi="宋体" w:cs="仿宋_GB2312" w:hint="eastAsia"/>
                <w:color w:val="000000"/>
                <w:kern w:val="0"/>
                <w:sz w:val="24"/>
                <w:lang w:bidi="ar"/>
              </w:rPr>
              <w:t>11</w:t>
            </w:r>
            <w:r>
              <w:rPr>
                <w:rFonts w:ascii="仿宋_GB2312" w:eastAsia="仿宋_GB2312" w:hAnsi="宋体" w:cs="仿宋_GB2312" w:hint="eastAsia"/>
                <w:color w:val="000000"/>
                <w:kern w:val="0"/>
                <w:sz w:val="24"/>
                <w:lang w:bidi="ar"/>
              </w:rPr>
              <w:t>辆；</w:t>
            </w:r>
          </w:p>
          <w:p w14:paraId="06135030" w14:textId="77777777" w:rsidR="00247A34" w:rsidRDefault="00BC4D66">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4"/>
                <w:lang w:bidi="ar"/>
              </w:rPr>
              <w:t>大客车</w:t>
            </w:r>
            <w:r>
              <w:rPr>
                <w:rFonts w:ascii="仿宋_GB2312" w:eastAsia="仿宋_GB2312" w:hAnsi="宋体" w:cs="仿宋_GB2312" w:hint="eastAsia"/>
                <w:color w:val="000000"/>
                <w:kern w:val="0"/>
                <w:sz w:val="24"/>
                <w:lang w:bidi="ar"/>
              </w:rPr>
              <w:t>5</w:t>
            </w:r>
            <w:r>
              <w:rPr>
                <w:rFonts w:ascii="仿宋_GB2312" w:eastAsia="仿宋_GB2312" w:hAnsi="宋体" w:cs="仿宋_GB2312" w:hint="eastAsia"/>
                <w:color w:val="000000"/>
                <w:kern w:val="0"/>
                <w:sz w:val="24"/>
                <w:lang w:bidi="ar"/>
              </w:rPr>
              <w:t>辆</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4F0308"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16</w:t>
            </w:r>
            <w:r>
              <w:rPr>
                <w:rFonts w:ascii="仿宋_GB2312" w:eastAsia="仿宋_GB2312" w:hAnsi="宋体" w:cs="仿宋_GB2312"/>
                <w:color w:val="000000"/>
                <w:kern w:val="0"/>
                <w:sz w:val="24"/>
                <w:lang w:bidi="ar"/>
              </w:rPr>
              <w:t>辆</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476C58" w14:textId="77777777" w:rsidR="00247A34" w:rsidRDefault="00247A34">
            <w:pPr>
              <w:jc w:val="center"/>
              <w:rPr>
                <w:rFonts w:ascii="仿宋_GB2312" w:eastAsia="仿宋_GB2312" w:hAnsi="宋体" w:cs="仿宋_GB2312"/>
                <w:color w:val="000000"/>
                <w:sz w:val="24"/>
              </w:rPr>
            </w:pPr>
          </w:p>
        </w:tc>
        <w:tc>
          <w:tcPr>
            <w:tcW w:w="23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1DFFEF" w14:textId="77777777" w:rsidR="00247A34" w:rsidRDefault="00BC4D66">
            <w:pPr>
              <w:widowControl/>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w:t>
            </w:r>
            <w:r>
              <w:rPr>
                <w:rFonts w:ascii="仿宋_GB2312" w:eastAsia="仿宋_GB2312" w:hAnsi="宋体" w:cs="仿宋_GB2312" w:hint="eastAsia"/>
                <w:color w:val="000000"/>
                <w:kern w:val="0"/>
                <w:sz w:val="24"/>
                <w:lang w:bidi="ar"/>
              </w:rPr>
              <w:t>，维修快捷，随到随修，设有专用工位。</w:t>
            </w:r>
          </w:p>
          <w:p w14:paraId="2CB46D22" w14:textId="77777777" w:rsidR="00247A34" w:rsidRDefault="00BC4D66">
            <w:pPr>
              <w:widowControl/>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w:t>
            </w:r>
            <w:r>
              <w:rPr>
                <w:rFonts w:ascii="仿宋_GB2312" w:eastAsia="仿宋_GB2312" w:hAnsi="宋体" w:cs="仿宋_GB2312" w:hint="eastAsia"/>
                <w:color w:val="000000"/>
                <w:kern w:val="0"/>
                <w:sz w:val="24"/>
                <w:lang w:bidi="ar"/>
              </w:rPr>
              <w:t>，</w:t>
            </w:r>
            <w:r>
              <w:rPr>
                <w:rFonts w:ascii="仿宋_GB2312" w:eastAsia="仿宋_GB2312" w:hAnsi="宋体" w:cs="仿宋_GB2312" w:hint="eastAsia"/>
                <w:color w:val="000000"/>
                <w:kern w:val="0"/>
                <w:sz w:val="24"/>
                <w:lang w:bidi="ar"/>
              </w:rPr>
              <w:t>24</w:t>
            </w:r>
            <w:r>
              <w:rPr>
                <w:rFonts w:ascii="仿宋_GB2312" w:eastAsia="仿宋_GB2312" w:hAnsi="宋体" w:cs="仿宋_GB2312" w:hint="eastAsia"/>
                <w:color w:val="000000"/>
                <w:kern w:val="0"/>
                <w:sz w:val="24"/>
                <w:lang w:bidi="ar"/>
              </w:rPr>
              <w:t>小时救援服务，随时响应，</w:t>
            </w:r>
            <w:r>
              <w:rPr>
                <w:rFonts w:ascii="仿宋_GB2312" w:eastAsia="仿宋_GB2312" w:hAnsi="宋体" w:cs="仿宋_GB2312" w:hint="eastAsia"/>
                <w:color w:val="000000"/>
                <w:kern w:val="0"/>
                <w:sz w:val="24"/>
                <w:lang w:bidi="ar"/>
              </w:rPr>
              <w:t>100</w:t>
            </w:r>
            <w:r>
              <w:rPr>
                <w:rFonts w:ascii="仿宋_GB2312" w:eastAsia="仿宋_GB2312" w:hAnsi="宋体" w:cs="仿宋_GB2312" w:hint="eastAsia"/>
                <w:color w:val="000000"/>
                <w:kern w:val="0"/>
                <w:sz w:val="24"/>
                <w:lang w:bidi="ar"/>
              </w:rPr>
              <w:t>公里范围内拖车免费。</w:t>
            </w:r>
          </w:p>
          <w:p w14:paraId="5FDA71A5" w14:textId="77777777" w:rsidR="00247A34" w:rsidRDefault="00BC4D66">
            <w:pPr>
              <w:widowControl/>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w:t>
            </w:r>
            <w:r>
              <w:rPr>
                <w:rFonts w:ascii="仿宋_GB2312" w:eastAsia="仿宋_GB2312" w:hAnsi="宋体" w:cs="仿宋_GB2312" w:hint="eastAsia"/>
                <w:color w:val="000000"/>
                <w:kern w:val="0"/>
                <w:sz w:val="24"/>
                <w:lang w:bidi="ar"/>
              </w:rPr>
              <w:t>，使用正牌配件，维修质量合格，免费质保期</w:t>
            </w:r>
            <w:proofErr w:type="gramStart"/>
            <w:r>
              <w:rPr>
                <w:rFonts w:ascii="仿宋_GB2312" w:eastAsia="仿宋_GB2312" w:hAnsi="宋体" w:cs="仿宋_GB2312" w:hint="eastAsia"/>
                <w:color w:val="000000"/>
                <w:kern w:val="0"/>
                <w:sz w:val="24"/>
                <w:lang w:bidi="ar"/>
              </w:rPr>
              <w:t>自项目</w:t>
            </w:r>
            <w:proofErr w:type="gramEnd"/>
            <w:r>
              <w:rPr>
                <w:rFonts w:ascii="仿宋_GB2312" w:eastAsia="仿宋_GB2312" w:hAnsi="宋体" w:cs="仿宋_GB2312" w:hint="eastAsia"/>
                <w:color w:val="000000"/>
                <w:kern w:val="0"/>
                <w:sz w:val="24"/>
                <w:lang w:bidi="ar"/>
              </w:rPr>
              <w:t>验收合格之日起</w:t>
            </w:r>
            <w:r>
              <w:rPr>
                <w:rFonts w:ascii="仿宋_GB2312" w:eastAsia="仿宋_GB2312" w:hAnsi="宋体" w:cs="仿宋_GB2312" w:hint="eastAsia"/>
                <w:color w:val="000000"/>
                <w:kern w:val="0"/>
                <w:sz w:val="24"/>
                <w:lang w:bidi="ar"/>
              </w:rPr>
              <w:t>12</w:t>
            </w:r>
            <w:r>
              <w:rPr>
                <w:rFonts w:ascii="仿宋_GB2312" w:eastAsia="仿宋_GB2312" w:hAnsi="宋体" w:cs="仿宋_GB2312" w:hint="eastAsia"/>
                <w:color w:val="000000"/>
                <w:kern w:val="0"/>
                <w:sz w:val="24"/>
                <w:lang w:bidi="ar"/>
              </w:rPr>
              <w:t>个月。</w:t>
            </w:r>
            <w:proofErr w:type="gramStart"/>
            <w:r>
              <w:rPr>
                <w:rFonts w:ascii="仿宋_GB2312" w:eastAsia="仿宋_GB2312" w:hAnsi="宋体" w:cs="仿宋_GB2312" w:hint="eastAsia"/>
                <w:color w:val="000000"/>
                <w:kern w:val="0"/>
                <w:sz w:val="24"/>
                <w:lang w:bidi="ar"/>
              </w:rPr>
              <w:t>帐单</w:t>
            </w:r>
            <w:proofErr w:type="gramEnd"/>
            <w:r>
              <w:rPr>
                <w:rFonts w:ascii="仿宋_GB2312" w:eastAsia="仿宋_GB2312" w:hAnsi="宋体" w:cs="仿宋_GB2312" w:hint="eastAsia"/>
                <w:color w:val="000000"/>
                <w:kern w:val="0"/>
                <w:sz w:val="24"/>
                <w:lang w:bidi="ar"/>
              </w:rPr>
              <w:t>清晰、准确。建立“一车一档”。</w:t>
            </w:r>
          </w:p>
          <w:p w14:paraId="30739291" w14:textId="77777777" w:rsidR="00247A34" w:rsidRDefault="00BC4D66">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4"/>
                <w:lang w:bidi="ar"/>
              </w:rPr>
              <w:t>4</w:t>
            </w:r>
            <w:r>
              <w:rPr>
                <w:rFonts w:ascii="仿宋_GB2312" w:eastAsia="仿宋_GB2312" w:hAnsi="宋体" w:cs="仿宋_GB2312" w:hint="eastAsia"/>
                <w:color w:val="000000"/>
                <w:kern w:val="0"/>
                <w:sz w:val="24"/>
                <w:lang w:bidi="ar"/>
              </w:rPr>
              <w:t>，每逢重大节日前，组织专业人员上门全车检查，免费对车辆电脑检测，排除安全隐患</w:t>
            </w:r>
            <w:r>
              <w:rPr>
                <w:rFonts w:ascii="仿宋_GB2312" w:eastAsia="仿宋_GB2312" w:hAnsi="宋体" w:cs="仿宋_GB2312" w:hint="eastAsia"/>
                <w:color w:val="000000"/>
                <w:kern w:val="0"/>
                <w:sz w:val="24"/>
                <w:lang w:bidi="ar"/>
              </w:rPr>
              <w:lastRenderedPageBreak/>
              <w:t>及时补充机油、防冻液、玻璃水等</w:t>
            </w:r>
            <w:r>
              <w:rPr>
                <w:rFonts w:ascii="宋体" w:hAnsi="宋体" w:cs="宋体" w:hint="eastAsia"/>
                <w:color w:val="000000"/>
                <w:kern w:val="0"/>
                <w:sz w:val="27"/>
                <w:szCs w:val="27"/>
                <w:lang w:bidi="ar"/>
              </w:rPr>
              <w:t>。</w:t>
            </w: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648E59"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lastRenderedPageBreak/>
              <w:t>自合同签订之日起，</w:t>
            </w:r>
            <w:r>
              <w:rPr>
                <w:rFonts w:ascii="仿宋_GB2312" w:eastAsia="仿宋_GB2312" w:hAnsi="宋体" w:cs="仿宋_GB2312" w:hint="eastAsia"/>
                <w:color w:val="000000"/>
                <w:kern w:val="0"/>
                <w:sz w:val="24"/>
                <w:lang w:bidi="ar"/>
              </w:rPr>
              <w:t>服务期</w:t>
            </w:r>
            <w:r>
              <w:rPr>
                <w:rFonts w:ascii="仿宋_GB2312" w:eastAsia="仿宋_GB2312" w:hAnsi="宋体" w:cs="仿宋_GB2312"/>
                <w:color w:val="000000"/>
                <w:kern w:val="0"/>
                <w:sz w:val="24"/>
                <w:lang w:bidi="ar"/>
              </w:rPr>
              <w:t>三年。</w:t>
            </w:r>
          </w:p>
        </w:tc>
        <w:tc>
          <w:tcPr>
            <w:tcW w:w="789" w:type="dxa"/>
            <w:vMerge w:val="restart"/>
            <w:tcBorders>
              <w:top w:val="single" w:sz="4" w:space="0" w:color="000000"/>
              <w:left w:val="single" w:sz="4" w:space="0" w:color="000000"/>
              <w:bottom w:val="single" w:sz="4" w:space="0" w:color="000000"/>
              <w:right w:val="nil"/>
            </w:tcBorders>
            <w:shd w:val="clear" w:color="auto" w:fill="auto"/>
            <w:vAlign w:val="center"/>
          </w:tcPr>
          <w:p w14:paraId="2F8C441D"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南京市域内</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F5D29" w14:textId="77777777" w:rsidR="00247A34" w:rsidRDefault="00247A34">
            <w:pPr>
              <w:jc w:val="center"/>
              <w:rPr>
                <w:rFonts w:ascii="仿宋_GB2312" w:eastAsia="仿宋_GB2312" w:hAnsi="宋体" w:cs="仿宋_GB2312"/>
                <w:color w:val="000000"/>
                <w:sz w:val="24"/>
              </w:rPr>
            </w:pP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DD0B67"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Cs w:val="21"/>
                <w:lang w:bidi="ar"/>
              </w:rPr>
              <w:t>按照《汽车维护与故障诊断修理工时定额》（</w:t>
            </w:r>
            <w:r>
              <w:rPr>
                <w:rFonts w:ascii="仿宋_GB2312" w:eastAsia="仿宋_GB2312" w:hAnsi="宋体" w:cs="仿宋_GB2312"/>
                <w:color w:val="000000"/>
                <w:kern w:val="0"/>
                <w:szCs w:val="21"/>
                <w:lang w:bidi="ar"/>
              </w:rPr>
              <w:t>2025</w:t>
            </w:r>
            <w:r>
              <w:rPr>
                <w:rFonts w:ascii="仿宋_GB2312" w:eastAsia="仿宋_GB2312" w:hAnsi="宋体" w:cs="仿宋_GB2312"/>
                <w:color w:val="000000"/>
                <w:kern w:val="0"/>
                <w:szCs w:val="21"/>
                <w:lang w:bidi="ar"/>
              </w:rPr>
              <w:t>版）执行</w:t>
            </w:r>
            <w:r>
              <w:rPr>
                <w:rFonts w:ascii="仿宋_GB2312" w:eastAsia="仿宋_GB2312" w:hAnsi="宋体" w:cs="仿宋_GB2312"/>
                <w:color w:val="000000"/>
                <w:kern w:val="0"/>
                <w:sz w:val="24"/>
                <w:lang w:bidi="ar"/>
              </w:rPr>
              <w:t>。</w:t>
            </w:r>
          </w:p>
        </w:tc>
        <w:tc>
          <w:tcPr>
            <w:tcW w:w="12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CD8EB2" w14:textId="77777777" w:rsidR="00247A34" w:rsidRDefault="00247A34">
            <w:pPr>
              <w:jc w:val="center"/>
              <w:rPr>
                <w:rFonts w:ascii="仿宋_GB2312" w:eastAsia="仿宋_GB2312" w:hAnsi="宋体" w:cs="仿宋_GB2312"/>
                <w:color w:val="000000"/>
                <w:sz w:val="24"/>
              </w:rPr>
            </w:pPr>
          </w:p>
        </w:tc>
        <w:tc>
          <w:tcPr>
            <w:tcW w:w="126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8F3C77" w14:textId="77777777" w:rsidR="00247A34" w:rsidRDefault="00247A34">
            <w:pPr>
              <w:jc w:val="center"/>
              <w:rPr>
                <w:rFonts w:ascii="仿宋_GB2312" w:eastAsia="仿宋_GB2312" w:hAnsi="宋体" w:cs="仿宋_GB2312"/>
                <w:color w:val="000000"/>
                <w:sz w:val="24"/>
              </w:rPr>
            </w:pPr>
          </w:p>
        </w:tc>
        <w:tc>
          <w:tcPr>
            <w:tcW w:w="8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A39BE3" w14:textId="77777777" w:rsidR="00247A34" w:rsidRDefault="00247A34">
            <w:pPr>
              <w:jc w:val="center"/>
              <w:rPr>
                <w:rFonts w:ascii="仿宋_GB2312" w:eastAsia="仿宋_GB2312" w:hAnsi="宋体" w:cs="仿宋_GB2312"/>
                <w:color w:val="000000"/>
                <w:sz w:val="24"/>
              </w:rPr>
            </w:pPr>
          </w:p>
        </w:tc>
      </w:tr>
      <w:tr w:rsidR="00247A34" w14:paraId="0D9FDF50" w14:textId="77777777">
        <w:trPr>
          <w:trHeight w:val="820"/>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CFC66" w14:textId="77777777" w:rsidR="00247A34" w:rsidRDefault="00247A34">
            <w:pPr>
              <w:jc w:val="center"/>
              <w:rPr>
                <w:rFonts w:ascii="仿宋_GB2312" w:eastAsia="仿宋_GB2312" w:hAnsi="宋体" w:cs="仿宋_GB2312"/>
                <w:color w:val="000000"/>
                <w:sz w:val="24"/>
              </w:rPr>
            </w:pPr>
          </w:p>
        </w:tc>
        <w:tc>
          <w:tcPr>
            <w:tcW w:w="1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DA50C" w14:textId="77777777" w:rsidR="00247A34" w:rsidRDefault="00247A34">
            <w:pPr>
              <w:jc w:val="left"/>
              <w:rPr>
                <w:rFonts w:ascii="仿宋_GB2312" w:eastAsia="仿宋_GB2312" w:hAnsi="宋体" w:cs="仿宋_GB2312"/>
                <w:color w:val="000000"/>
                <w:sz w:val="20"/>
                <w:szCs w:val="20"/>
              </w:rPr>
            </w:pPr>
          </w:p>
        </w:tc>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466C8F" w14:textId="77777777" w:rsidR="00247A34" w:rsidRDefault="00247A34">
            <w:pPr>
              <w:jc w:val="center"/>
              <w:rPr>
                <w:rFonts w:ascii="仿宋_GB2312" w:eastAsia="仿宋_GB2312" w:hAnsi="宋体" w:cs="仿宋_GB2312"/>
                <w:color w:val="000000"/>
                <w:sz w:val="24"/>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D959E" w14:textId="77777777" w:rsidR="00247A34" w:rsidRDefault="00247A34">
            <w:pPr>
              <w:jc w:val="center"/>
              <w:rPr>
                <w:rFonts w:ascii="仿宋_GB2312" w:eastAsia="仿宋_GB2312" w:hAnsi="宋体" w:cs="仿宋_GB2312"/>
                <w:color w:val="000000"/>
                <w:sz w:val="24"/>
              </w:rPr>
            </w:pPr>
          </w:p>
        </w:tc>
        <w:tc>
          <w:tcPr>
            <w:tcW w:w="23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8B406" w14:textId="77777777" w:rsidR="00247A34" w:rsidRDefault="00247A34">
            <w:pPr>
              <w:jc w:val="center"/>
              <w:rPr>
                <w:rFonts w:ascii="仿宋_GB2312" w:eastAsia="仿宋_GB2312" w:hAnsi="宋体" w:cs="仿宋_GB2312"/>
                <w:color w:val="000000"/>
                <w:sz w:val="20"/>
                <w:szCs w:val="20"/>
              </w:rPr>
            </w:pPr>
          </w:p>
        </w:tc>
        <w:tc>
          <w:tcPr>
            <w:tcW w:w="1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6D29A" w14:textId="77777777" w:rsidR="00247A34" w:rsidRDefault="00247A34">
            <w:pPr>
              <w:jc w:val="center"/>
              <w:rPr>
                <w:rFonts w:ascii="仿宋_GB2312" w:eastAsia="仿宋_GB2312" w:hAnsi="宋体" w:cs="仿宋_GB2312"/>
                <w:color w:val="000000"/>
                <w:sz w:val="24"/>
              </w:rPr>
            </w:pPr>
          </w:p>
        </w:tc>
        <w:tc>
          <w:tcPr>
            <w:tcW w:w="789" w:type="dxa"/>
            <w:vMerge/>
            <w:tcBorders>
              <w:top w:val="single" w:sz="4" w:space="0" w:color="000000"/>
              <w:left w:val="single" w:sz="4" w:space="0" w:color="000000"/>
              <w:bottom w:val="single" w:sz="4" w:space="0" w:color="000000"/>
              <w:right w:val="nil"/>
            </w:tcBorders>
            <w:shd w:val="clear" w:color="auto" w:fill="auto"/>
            <w:vAlign w:val="center"/>
          </w:tcPr>
          <w:p w14:paraId="42558241" w14:textId="77777777" w:rsidR="00247A34" w:rsidRDefault="00247A34">
            <w:pPr>
              <w:jc w:val="center"/>
              <w:rPr>
                <w:rFonts w:ascii="仿宋_GB2312" w:eastAsia="仿宋_GB2312" w:hAnsi="宋体" w:cs="仿宋_GB2312"/>
                <w:color w:val="000000"/>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55E324" w14:textId="77777777" w:rsidR="00247A34" w:rsidRDefault="00247A34">
            <w:pPr>
              <w:jc w:val="center"/>
              <w:rPr>
                <w:rFonts w:ascii="仿宋_GB2312" w:eastAsia="仿宋_GB2312" w:hAnsi="宋体" w:cs="仿宋_GB2312"/>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F0363C" w14:textId="77777777" w:rsidR="00247A34" w:rsidRDefault="00247A34">
            <w:pPr>
              <w:jc w:val="center"/>
              <w:rPr>
                <w:rFonts w:ascii="仿宋_GB2312" w:eastAsia="仿宋_GB2312" w:hAnsi="宋体" w:cs="仿宋_GB2312"/>
                <w:color w:val="000000"/>
                <w:sz w:val="24"/>
              </w:rPr>
            </w:pPr>
          </w:p>
        </w:tc>
        <w:tc>
          <w:tcPr>
            <w:tcW w:w="12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942824" w14:textId="77777777" w:rsidR="00247A34" w:rsidRDefault="00247A34">
            <w:pPr>
              <w:jc w:val="center"/>
              <w:rPr>
                <w:rFonts w:ascii="仿宋_GB2312" w:eastAsia="仿宋_GB2312" w:hAnsi="宋体" w:cs="仿宋_GB2312"/>
                <w:color w:val="000000"/>
                <w:sz w:val="24"/>
              </w:rPr>
            </w:pPr>
          </w:p>
        </w:tc>
        <w:tc>
          <w:tcPr>
            <w:tcW w:w="1265"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08C9C" w14:textId="77777777" w:rsidR="00247A34" w:rsidRDefault="00247A34">
            <w:pPr>
              <w:jc w:val="center"/>
              <w:rPr>
                <w:rFonts w:ascii="仿宋_GB2312" w:eastAsia="仿宋_GB2312" w:hAnsi="宋体" w:cs="仿宋_GB2312"/>
                <w:color w:val="000000"/>
                <w:sz w:val="24"/>
              </w:rPr>
            </w:pPr>
          </w:p>
        </w:tc>
        <w:tc>
          <w:tcPr>
            <w:tcW w:w="81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B86B1" w14:textId="77777777" w:rsidR="00247A34" w:rsidRDefault="00247A34">
            <w:pPr>
              <w:jc w:val="center"/>
              <w:rPr>
                <w:rFonts w:ascii="仿宋_GB2312" w:eastAsia="仿宋_GB2312" w:hAnsi="宋体" w:cs="仿宋_GB2312"/>
                <w:color w:val="000000"/>
                <w:sz w:val="24"/>
              </w:rPr>
            </w:pPr>
          </w:p>
        </w:tc>
      </w:tr>
      <w:tr w:rsidR="00247A34" w14:paraId="6AC78E92" w14:textId="77777777">
        <w:trPr>
          <w:trHeight w:val="1920"/>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CFE9B3" w14:textId="77777777" w:rsidR="00247A34" w:rsidRDefault="00247A34">
            <w:pPr>
              <w:jc w:val="center"/>
              <w:rPr>
                <w:rFonts w:ascii="仿宋_GB2312" w:eastAsia="仿宋_GB2312" w:hAnsi="宋体" w:cs="仿宋_GB2312"/>
                <w:color w:val="000000"/>
                <w:sz w:val="24"/>
              </w:rPr>
            </w:pPr>
          </w:p>
        </w:tc>
        <w:tc>
          <w:tcPr>
            <w:tcW w:w="1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82F79" w14:textId="77777777" w:rsidR="00247A34" w:rsidRDefault="00247A34">
            <w:pPr>
              <w:jc w:val="left"/>
              <w:rPr>
                <w:rFonts w:ascii="仿宋_GB2312" w:eastAsia="仿宋_GB2312" w:hAnsi="宋体" w:cs="仿宋_GB2312"/>
                <w:color w:val="000000"/>
                <w:sz w:val="20"/>
                <w:szCs w:val="20"/>
              </w:rPr>
            </w:pPr>
          </w:p>
        </w:tc>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0E89A" w14:textId="77777777" w:rsidR="00247A34" w:rsidRDefault="00247A34">
            <w:pPr>
              <w:jc w:val="center"/>
              <w:rPr>
                <w:rFonts w:ascii="仿宋_GB2312" w:eastAsia="仿宋_GB2312" w:hAnsi="宋体" w:cs="仿宋_GB2312"/>
                <w:color w:val="000000"/>
                <w:sz w:val="24"/>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C5552" w14:textId="77777777" w:rsidR="00247A34" w:rsidRDefault="00247A34">
            <w:pPr>
              <w:jc w:val="center"/>
              <w:rPr>
                <w:rFonts w:ascii="仿宋_GB2312" w:eastAsia="仿宋_GB2312" w:hAnsi="宋体" w:cs="仿宋_GB2312"/>
                <w:color w:val="000000"/>
                <w:sz w:val="24"/>
              </w:rPr>
            </w:pPr>
          </w:p>
        </w:tc>
        <w:tc>
          <w:tcPr>
            <w:tcW w:w="23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D7A1D" w14:textId="77777777" w:rsidR="00247A34" w:rsidRDefault="00247A34">
            <w:pPr>
              <w:jc w:val="center"/>
              <w:rPr>
                <w:rFonts w:ascii="仿宋_GB2312" w:eastAsia="仿宋_GB2312" w:hAnsi="宋体" w:cs="仿宋_GB2312"/>
                <w:color w:val="000000"/>
                <w:sz w:val="20"/>
                <w:szCs w:val="20"/>
              </w:rPr>
            </w:pPr>
          </w:p>
        </w:tc>
        <w:tc>
          <w:tcPr>
            <w:tcW w:w="1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F6C72" w14:textId="77777777" w:rsidR="00247A34" w:rsidRDefault="00247A34">
            <w:pPr>
              <w:jc w:val="center"/>
              <w:rPr>
                <w:rFonts w:ascii="仿宋_GB2312" w:eastAsia="仿宋_GB2312" w:hAnsi="宋体" w:cs="仿宋_GB2312"/>
                <w:color w:val="000000"/>
                <w:sz w:val="24"/>
              </w:rPr>
            </w:pPr>
          </w:p>
        </w:tc>
        <w:tc>
          <w:tcPr>
            <w:tcW w:w="789" w:type="dxa"/>
            <w:vMerge/>
            <w:tcBorders>
              <w:top w:val="single" w:sz="4" w:space="0" w:color="000000"/>
              <w:left w:val="single" w:sz="4" w:space="0" w:color="000000"/>
              <w:bottom w:val="single" w:sz="4" w:space="0" w:color="000000"/>
              <w:right w:val="nil"/>
            </w:tcBorders>
            <w:shd w:val="clear" w:color="auto" w:fill="auto"/>
            <w:vAlign w:val="center"/>
          </w:tcPr>
          <w:p w14:paraId="332E8A85" w14:textId="77777777" w:rsidR="00247A34" w:rsidRDefault="00247A34">
            <w:pPr>
              <w:jc w:val="center"/>
              <w:rPr>
                <w:rFonts w:ascii="仿宋_GB2312" w:eastAsia="仿宋_GB2312" w:hAnsi="宋体" w:cs="仿宋_GB2312"/>
                <w:color w:val="000000"/>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AEC874" w14:textId="77777777" w:rsidR="00247A34" w:rsidRDefault="00247A34">
            <w:pPr>
              <w:jc w:val="center"/>
              <w:rPr>
                <w:rFonts w:ascii="仿宋_GB2312" w:eastAsia="仿宋_GB2312" w:hAnsi="宋体" w:cs="仿宋_GB2312"/>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E5EE0" w14:textId="77777777" w:rsidR="00247A34" w:rsidRDefault="00247A34">
            <w:pPr>
              <w:jc w:val="center"/>
              <w:rPr>
                <w:rFonts w:ascii="仿宋_GB2312" w:eastAsia="仿宋_GB2312" w:hAnsi="宋体" w:cs="仿宋_GB2312"/>
                <w:color w:val="000000"/>
                <w:sz w:val="24"/>
              </w:rPr>
            </w:pPr>
          </w:p>
        </w:tc>
        <w:tc>
          <w:tcPr>
            <w:tcW w:w="12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8F060" w14:textId="77777777" w:rsidR="00247A34" w:rsidRDefault="00247A34">
            <w:pPr>
              <w:jc w:val="center"/>
              <w:rPr>
                <w:rFonts w:ascii="仿宋_GB2312" w:eastAsia="仿宋_GB2312" w:hAnsi="宋体" w:cs="仿宋_GB2312"/>
                <w:color w:val="000000"/>
                <w:sz w:val="24"/>
              </w:rPr>
            </w:pPr>
          </w:p>
        </w:tc>
        <w:tc>
          <w:tcPr>
            <w:tcW w:w="1265"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B9D61" w14:textId="77777777" w:rsidR="00247A34" w:rsidRDefault="00247A34">
            <w:pPr>
              <w:jc w:val="center"/>
              <w:rPr>
                <w:rFonts w:ascii="仿宋_GB2312" w:eastAsia="仿宋_GB2312" w:hAnsi="宋体" w:cs="仿宋_GB2312"/>
                <w:color w:val="000000"/>
                <w:sz w:val="24"/>
              </w:rPr>
            </w:pPr>
          </w:p>
        </w:tc>
        <w:tc>
          <w:tcPr>
            <w:tcW w:w="81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F5285" w14:textId="77777777" w:rsidR="00247A34" w:rsidRDefault="00247A34">
            <w:pPr>
              <w:jc w:val="center"/>
              <w:rPr>
                <w:rFonts w:ascii="仿宋_GB2312" w:eastAsia="仿宋_GB2312" w:hAnsi="宋体" w:cs="仿宋_GB2312"/>
                <w:color w:val="000000"/>
                <w:sz w:val="24"/>
              </w:rPr>
            </w:pPr>
          </w:p>
        </w:tc>
      </w:tr>
      <w:tr w:rsidR="00247A34" w14:paraId="35BA690C" w14:textId="77777777">
        <w:trPr>
          <w:trHeight w:val="394"/>
        </w:trPr>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15764"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预算金</w:t>
            </w:r>
            <w:r>
              <w:rPr>
                <w:rFonts w:ascii="仿宋_GB2312" w:eastAsia="仿宋_GB2312" w:hAnsi="宋体" w:cs="仿宋_GB2312"/>
                <w:color w:val="000000"/>
                <w:kern w:val="0"/>
                <w:sz w:val="24"/>
                <w:lang w:bidi="ar"/>
              </w:rPr>
              <w:t>额</w:t>
            </w:r>
          </w:p>
        </w:tc>
        <w:tc>
          <w:tcPr>
            <w:tcW w:w="7479" w:type="dxa"/>
            <w:gridSpan w:val="6"/>
            <w:tcBorders>
              <w:top w:val="single" w:sz="4" w:space="0" w:color="000000"/>
              <w:left w:val="single" w:sz="4" w:space="0" w:color="000000"/>
              <w:bottom w:val="single" w:sz="4" w:space="0" w:color="000000"/>
              <w:right w:val="dotDash" w:sz="8" w:space="0" w:color="000000"/>
            </w:tcBorders>
            <w:shd w:val="clear" w:color="auto" w:fill="auto"/>
            <w:vAlign w:val="center"/>
          </w:tcPr>
          <w:p w14:paraId="0035F9AF" w14:textId="77777777" w:rsidR="00247A34" w:rsidRDefault="00BC4D66">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人民币（大写）每年拾壹万元（</w:t>
            </w:r>
            <w:r>
              <w:rPr>
                <w:rStyle w:val="font61"/>
                <w:rFonts w:eastAsia="仿宋_GB2312"/>
                <w:lang w:bidi="ar"/>
              </w:rPr>
              <w:t>¥</w:t>
            </w:r>
            <w:r>
              <w:rPr>
                <w:rStyle w:val="font11"/>
                <w:rFonts w:hAnsi="宋体"/>
                <w:lang w:bidi="ar"/>
              </w:rPr>
              <w:t>110000</w:t>
            </w:r>
            <w:r>
              <w:rPr>
                <w:rStyle w:val="font61"/>
                <w:rFonts w:eastAsia="仿宋_GB2312"/>
                <w:lang w:bidi="ar"/>
              </w:rPr>
              <w:t>.00</w:t>
            </w:r>
            <w:r>
              <w:rPr>
                <w:rStyle w:val="font11"/>
                <w:rFonts w:hAnsi="宋体"/>
                <w:lang w:bidi="ar"/>
              </w:rPr>
              <w:t>）左右</w:t>
            </w:r>
          </w:p>
        </w:tc>
        <w:tc>
          <w:tcPr>
            <w:tcW w:w="5802" w:type="dxa"/>
            <w:gridSpan w:val="18"/>
            <w:tcBorders>
              <w:top w:val="single" w:sz="4" w:space="0" w:color="000000"/>
              <w:left w:val="dotDash" w:sz="8" w:space="0" w:color="000000"/>
              <w:bottom w:val="single" w:sz="4" w:space="0" w:color="000000"/>
              <w:right w:val="single" w:sz="4" w:space="0" w:color="000000"/>
            </w:tcBorders>
            <w:shd w:val="clear" w:color="auto" w:fill="auto"/>
            <w:vAlign w:val="center"/>
          </w:tcPr>
          <w:p w14:paraId="1A5CCCE1" w14:textId="77777777" w:rsidR="00247A34" w:rsidRDefault="00BC4D66">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按实际结算</w:t>
            </w:r>
          </w:p>
        </w:tc>
      </w:tr>
      <w:tr w:rsidR="00247A34" w14:paraId="7022BC9C" w14:textId="77777777">
        <w:trPr>
          <w:trHeight w:val="270"/>
        </w:trPr>
        <w:tc>
          <w:tcPr>
            <w:tcW w:w="8655" w:type="dxa"/>
            <w:gridSpan w:val="7"/>
            <w:tcBorders>
              <w:top w:val="single" w:sz="4" w:space="0" w:color="000000"/>
              <w:left w:val="nil"/>
              <w:bottom w:val="nil"/>
              <w:right w:val="nil"/>
            </w:tcBorders>
            <w:shd w:val="clear" w:color="auto" w:fill="auto"/>
            <w:vAlign w:val="center"/>
          </w:tcPr>
          <w:p w14:paraId="02232E82" w14:textId="77777777" w:rsidR="00247A34" w:rsidRDefault="00BC4D66">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虚线左方为采购人填写</w:t>
            </w:r>
          </w:p>
        </w:tc>
        <w:tc>
          <w:tcPr>
            <w:tcW w:w="5802" w:type="dxa"/>
            <w:gridSpan w:val="18"/>
            <w:tcBorders>
              <w:top w:val="single" w:sz="4" w:space="0" w:color="000000"/>
              <w:left w:val="dotDash" w:sz="8" w:space="0" w:color="000000"/>
              <w:bottom w:val="nil"/>
              <w:right w:val="nil"/>
            </w:tcBorders>
            <w:shd w:val="clear" w:color="auto" w:fill="auto"/>
            <w:vAlign w:val="center"/>
          </w:tcPr>
          <w:p w14:paraId="6DFB8220" w14:textId="77777777" w:rsidR="00247A34" w:rsidRDefault="00BC4D66">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虚线右方为供应商填写</w:t>
            </w:r>
          </w:p>
        </w:tc>
      </w:tr>
      <w:tr w:rsidR="00247A34" w14:paraId="1A23A0D8" w14:textId="77777777">
        <w:tblPrEx>
          <w:jc w:val="center"/>
        </w:tblPrEx>
        <w:trPr>
          <w:gridAfter w:val="1"/>
          <w:wAfter w:w="283" w:type="dxa"/>
          <w:jc w:val="center"/>
        </w:trPr>
        <w:tc>
          <w:tcPr>
            <w:tcW w:w="12402" w:type="dxa"/>
            <w:gridSpan w:val="15"/>
            <w:tcBorders>
              <w:top w:val="nil"/>
              <w:left w:val="nil"/>
              <w:bottom w:val="nil"/>
              <w:right w:val="nil"/>
            </w:tcBorders>
            <w:shd w:val="clear" w:color="auto" w:fill="auto"/>
            <w:noWrap/>
            <w:vAlign w:val="center"/>
          </w:tcPr>
          <w:p w14:paraId="3C36EF52" w14:textId="77777777" w:rsidR="00247A34" w:rsidRDefault="00BC4D66">
            <w:pPr>
              <w:widowControl/>
              <w:snapToGrid w:val="0"/>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填报要求及注意事项：</w:t>
            </w:r>
          </w:p>
        </w:tc>
        <w:tc>
          <w:tcPr>
            <w:tcW w:w="221" w:type="dxa"/>
            <w:tcBorders>
              <w:top w:val="nil"/>
              <w:left w:val="nil"/>
              <w:bottom w:val="nil"/>
              <w:right w:val="nil"/>
            </w:tcBorders>
            <w:shd w:val="clear" w:color="auto" w:fill="auto"/>
            <w:noWrap/>
            <w:vAlign w:val="center"/>
          </w:tcPr>
          <w:p w14:paraId="604BBC9D" w14:textId="77777777" w:rsidR="00247A34" w:rsidRDefault="00247A34">
            <w:pPr>
              <w:snapToGrid w:val="0"/>
              <w:rPr>
                <w:rFonts w:ascii="宋体" w:hAnsi="宋体" w:cs="宋体"/>
                <w:color w:val="000000"/>
                <w:sz w:val="18"/>
                <w:szCs w:val="18"/>
              </w:rPr>
            </w:pPr>
          </w:p>
        </w:tc>
        <w:tc>
          <w:tcPr>
            <w:tcW w:w="221" w:type="dxa"/>
            <w:tcBorders>
              <w:top w:val="nil"/>
              <w:left w:val="nil"/>
              <w:bottom w:val="nil"/>
              <w:right w:val="nil"/>
            </w:tcBorders>
            <w:shd w:val="clear" w:color="auto" w:fill="auto"/>
            <w:noWrap/>
            <w:vAlign w:val="center"/>
          </w:tcPr>
          <w:p w14:paraId="64AD6924" w14:textId="77777777" w:rsidR="00247A34" w:rsidRDefault="00247A34">
            <w:pPr>
              <w:snapToGrid w:val="0"/>
              <w:rPr>
                <w:rFonts w:ascii="宋体" w:hAnsi="宋体" w:cs="宋体"/>
                <w:color w:val="000000"/>
                <w:sz w:val="18"/>
                <w:szCs w:val="18"/>
              </w:rPr>
            </w:pPr>
          </w:p>
        </w:tc>
        <w:tc>
          <w:tcPr>
            <w:tcW w:w="221" w:type="dxa"/>
            <w:tcBorders>
              <w:top w:val="nil"/>
              <w:left w:val="nil"/>
              <w:bottom w:val="nil"/>
              <w:right w:val="nil"/>
            </w:tcBorders>
            <w:shd w:val="clear" w:color="auto" w:fill="auto"/>
            <w:noWrap/>
            <w:vAlign w:val="center"/>
          </w:tcPr>
          <w:p w14:paraId="11387493" w14:textId="77777777" w:rsidR="00247A34" w:rsidRDefault="00247A34">
            <w:pPr>
              <w:snapToGrid w:val="0"/>
              <w:rPr>
                <w:rFonts w:ascii="宋体" w:hAnsi="宋体" w:cs="宋体"/>
                <w:color w:val="000000"/>
                <w:sz w:val="18"/>
                <w:szCs w:val="18"/>
              </w:rPr>
            </w:pPr>
          </w:p>
        </w:tc>
        <w:tc>
          <w:tcPr>
            <w:tcW w:w="221" w:type="dxa"/>
            <w:tcBorders>
              <w:top w:val="nil"/>
              <w:left w:val="nil"/>
              <w:bottom w:val="nil"/>
              <w:right w:val="nil"/>
            </w:tcBorders>
            <w:shd w:val="clear" w:color="auto" w:fill="auto"/>
            <w:noWrap/>
            <w:vAlign w:val="center"/>
          </w:tcPr>
          <w:p w14:paraId="41CF6381" w14:textId="77777777" w:rsidR="00247A34" w:rsidRDefault="00247A34">
            <w:pPr>
              <w:snapToGrid w:val="0"/>
              <w:rPr>
                <w:rFonts w:ascii="宋体" w:hAnsi="宋体" w:cs="宋体"/>
                <w:color w:val="000000"/>
                <w:sz w:val="18"/>
                <w:szCs w:val="18"/>
              </w:rPr>
            </w:pPr>
          </w:p>
        </w:tc>
        <w:tc>
          <w:tcPr>
            <w:tcW w:w="222" w:type="dxa"/>
            <w:tcBorders>
              <w:top w:val="nil"/>
              <w:left w:val="nil"/>
              <w:bottom w:val="nil"/>
              <w:right w:val="nil"/>
            </w:tcBorders>
            <w:shd w:val="clear" w:color="auto" w:fill="auto"/>
            <w:noWrap/>
            <w:vAlign w:val="center"/>
          </w:tcPr>
          <w:p w14:paraId="723600EC" w14:textId="77777777" w:rsidR="00247A34" w:rsidRDefault="00247A34">
            <w:pPr>
              <w:snapToGrid w:val="0"/>
              <w:rPr>
                <w:rFonts w:ascii="宋体" w:hAnsi="宋体" w:cs="宋体"/>
                <w:color w:val="000000"/>
                <w:sz w:val="18"/>
                <w:szCs w:val="18"/>
              </w:rPr>
            </w:pPr>
          </w:p>
        </w:tc>
        <w:tc>
          <w:tcPr>
            <w:tcW w:w="222" w:type="dxa"/>
            <w:gridSpan w:val="2"/>
            <w:tcBorders>
              <w:top w:val="nil"/>
              <w:left w:val="nil"/>
              <w:bottom w:val="nil"/>
              <w:right w:val="nil"/>
            </w:tcBorders>
            <w:shd w:val="clear" w:color="auto" w:fill="auto"/>
            <w:noWrap/>
            <w:vAlign w:val="center"/>
          </w:tcPr>
          <w:p w14:paraId="3A9A063E" w14:textId="77777777" w:rsidR="00247A34" w:rsidRDefault="00247A34">
            <w:pPr>
              <w:snapToGrid w:val="0"/>
              <w:rPr>
                <w:rFonts w:ascii="宋体" w:hAnsi="宋体" w:cs="宋体"/>
                <w:color w:val="000000"/>
                <w:sz w:val="18"/>
                <w:szCs w:val="18"/>
              </w:rPr>
            </w:pPr>
          </w:p>
        </w:tc>
        <w:tc>
          <w:tcPr>
            <w:tcW w:w="222" w:type="dxa"/>
            <w:tcBorders>
              <w:top w:val="nil"/>
              <w:left w:val="nil"/>
              <w:bottom w:val="nil"/>
              <w:right w:val="nil"/>
            </w:tcBorders>
            <w:shd w:val="clear" w:color="auto" w:fill="auto"/>
            <w:noWrap/>
            <w:vAlign w:val="center"/>
          </w:tcPr>
          <w:p w14:paraId="662549AE" w14:textId="77777777" w:rsidR="00247A34" w:rsidRDefault="00247A34">
            <w:pPr>
              <w:snapToGrid w:val="0"/>
              <w:rPr>
                <w:rFonts w:ascii="宋体" w:hAnsi="宋体" w:cs="宋体"/>
                <w:color w:val="000000"/>
                <w:sz w:val="18"/>
                <w:szCs w:val="18"/>
              </w:rPr>
            </w:pPr>
          </w:p>
        </w:tc>
        <w:tc>
          <w:tcPr>
            <w:tcW w:w="222" w:type="dxa"/>
            <w:tcBorders>
              <w:top w:val="nil"/>
              <w:left w:val="nil"/>
              <w:bottom w:val="nil"/>
              <w:right w:val="nil"/>
            </w:tcBorders>
            <w:shd w:val="clear" w:color="auto" w:fill="auto"/>
            <w:noWrap/>
            <w:vAlign w:val="center"/>
          </w:tcPr>
          <w:p w14:paraId="33CF8B65" w14:textId="77777777" w:rsidR="00247A34" w:rsidRDefault="00247A34">
            <w:pPr>
              <w:snapToGrid w:val="0"/>
              <w:rPr>
                <w:rFonts w:ascii="宋体" w:hAnsi="宋体" w:cs="宋体"/>
                <w:color w:val="000000"/>
                <w:sz w:val="18"/>
                <w:szCs w:val="18"/>
              </w:rPr>
            </w:pPr>
          </w:p>
        </w:tc>
      </w:tr>
      <w:tr w:rsidR="00247A34" w14:paraId="2A9ADEAC" w14:textId="77777777">
        <w:tblPrEx>
          <w:jc w:val="center"/>
        </w:tblPrEx>
        <w:trPr>
          <w:gridAfter w:val="1"/>
          <w:wAfter w:w="283" w:type="dxa"/>
          <w:jc w:val="center"/>
        </w:trPr>
        <w:tc>
          <w:tcPr>
            <w:tcW w:w="11518" w:type="dxa"/>
            <w:gridSpan w:val="10"/>
            <w:tcBorders>
              <w:top w:val="nil"/>
              <w:left w:val="nil"/>
              <w:bottom w:val="nil"/>
              <w:right w:val="nil"/>
            </w:tcBorders>
            <w:shd w:val="clear" w:color="auto" w:fill="auto"/>
            <w:noWrap/>
            <w:vAlign w:val="center"/>
          </w:tcPr>
          <w:p w14:paraId="18082A43"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说明：</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维修结算总费用</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工时费用（工时单价×工时定额）＋材料费用</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材料购进价格×（</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＋材料进销差价率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。上述所有费用均为含税价。</w:t>
            </w:r>
            <w:r>
              <w:rPr>
                <w:rFonts w:ascii="宋体" w:hAnsi="宋体" w:cs="宋体" w:hint="eastAsia"/>
                <w:color w:val="000000"/>
                <w:kern w:val="0"/>
                <w:sz w:val="20"/>
                <w:szCs w:val="20"/>
                <w:lang w:bidi="ar"/>
              </w:rPr>
              <w:t xml:space="preserve">                                                                                  </w:t>
            </w:r>
          </w:p>
        </w:tc>
        <w:tc>
          <w:tcPr>
            <w:tcW w:w="221" w:type="dxa"/>
            <w:tcBorders>
              <w:top w:val="nil"/>
              <w:left w:val="nil"/>
              <w:bottom w:val="nil"/>
              <w:right w:val="nil"/>
            </w:tcBorders>
            <w:shd w:val="clear" w:color="auto" w:fill="auto"/>
            <w:noWrap/>
            <w:vAlign w:val="center"/>
          </w:tcPr>
          <w:p w14:paraId="62ECBE17" w14:textId="77777777" w:rsidR="00247A34" w:rsidRDefault="00247A34">
            <w:pPr>
              <w:snapToGrid w:val="0"/>
              <w:rPr>
                <w:rFonts w:ascii="宋体" w:hAnsi="宋体" w:cs="宋体"/>
                <w:color w:val="000000"/>
                <w:sz w:val="20"/>
                <w:szCs w:val="20"/>
              </w:rPr>
            </w:pPr>
          </w:p>
        </w:tc>
        <w:tc>
          <w:tcPr>
            <w:tcW w:w="221" w:type="dxa"/>
            <w:tcBorders>
              <w:top w:val="nil"/>
              <w:left w:val="nil"/>
              <w:bottom w:val="nil"/>
              <w:right w:val="nil"/>
            </w:tcBorders>
            <w:shd w:val="clear" w:color="auto" w:fill="auto"/>
            <w:noWrap/>
            <w:vAlign w:val="center"/>
          </w:tcPr>
          <w:p w14:paraId="23A17176" w14:textId="77777777" w:rsidR="00247A34" w:rsidRDefault="00247A34">
            <w:pPr>
              <w:snapToGrid w:val="0"/>
              <w:rPr>
                <w:rFonts w:ascii="宋体" w:hAnsi="宋体" w:cs="宋体"/>
                <w:color w:val="000000"/>
                <w:sz w:val="20"/>
                <w:szCs w:val="20"/>
              </w:rPr>
            </w:pPr>
          </w:p>
        </w:tc>
        <w:tc>
          <w:tcPr>
            <w:tcW w:w="221" w:type="dxa"/>
            <w:tcBorders>
              <w:top w:val="nil"/>
              <w:left w:val="nil"/>
              <w:bottom w:val="nil"/>
              <w:right w:val="nil"/>
            </w:tcBorders>
            <w:shd w:val="clear" w:color="auto" w:fill="auto"/>
            <w:noWrap/>
            <w:vAlign w:val="center"/>
          </w:tcPr>
          <w:p w14:paraId="4BD0F695" w14:textId="77777777" w:rsidR="00247A34" w:rsidRDefault="00247A34">
            <w:pPr>
              <w:snapToGrid w:val="0"/>
              <w:rPr>
                <w:rFonts w:ascii="宋体" w:hAnsi="宋体" w:cs="宋体"/>
                <w:color w:val="000000"/>
                <w:sz w:val="20"/>
                <w:szCs w:val="20"/>
              </w:rPr>
            </w:pPr>
          </w:p>
        </w:tc>
        <w:tc>
          <w:tcPr>
            <w:tcW w:w="221" w:type="dxa"/>
            <w:gridSpan w:val="2"/>
            <w:tcBorders>
              <w:top w:val="nil"/>
              <w:left w:val="nil"/>
              <w:bottom w:val="nil"/>
              <w:right w:val="nil"/>
            </w:tcBorders>
            <w:shd w:val="clear" w:color="auto" w:fill="auto"/>
            <w:noWrap/>
            <w:vAlign w:val="center"/>
          </w:tcPr>
          <w:p w14:paraId="2307898A" w14:textId="77777777" w:rsidR="00247A34" w:rsidRDefault="00247A34">
            <w:pPr>
              <w:snapToGrid w:val="0"/>
              <w:rPr>
                <w:rFonts w:ascii="宋体" w:hAnsi="宋体" w:cs="宋体"/>
                <w:color w:val="000000"/>
                <w:sz w:val="20"/>
                <w:szCs w:val="20"/>
              </w:rPr>
            </w:pPr>
          </w:p>
        </w:tc>
        <w:tc>
          <w:tcPr>
            <w:tcW w:w="221" w:type="dxa"/>
            <w:tcBorders>
              <w:top w:val="nil"/>
              <w:left w:val="nil"/>
              <w:bottom w:val="nil"/>
              <w:right w:val="nil"/>
            </w:tcBorders>
            <w:shd w:val="clear" w:color="auto" w:fill="auto"/>
            <w:noWrap/>
            <w:vAlign w:val="center"/>
          </w:tcPr>
          <w:p w14:paraId="0508D958" w14:textId="77777777" w:rsidR="00247A34" w:rsidRDefault="00247A34">
            <w:pPr>
              <w:snapToGrid w:val="0"/>
              <w:rPr>
                <w:rFonts w:ascii="宋体" w:hAnsi="宋体" w:cs="宋体"/>
                <w:color w:val="000000"/>
                <w:sz w:val="20"/>
                <w:szCs w:val="20"/>
              </w:rPr>
            </w:pPr>
          </w:p>
        </w:tc>
        <w:tc>
          <w:tcPr>
            <w:tcW w:w="221" w:type="dxa"/>
            <w:tcBorders>
              <w:top w:val="nil"/>
              <w:left w:val="nil"/>
              <w:bottom w:val="nil"/>
              <w:right w:val="nil"/>
            </w:tcBorders>
            <w:shd w:val="clear" w:color="auto" w:fill="auto"/>
            <w:noWrap/>
            <w:vAlign w:val="center"/>
          </w:tcPr>
          <w:p w14:paraId="08796852" w14:textId="77777777" w:rsidR="00247A34" w:rsidRDefault="00247A34">
            <w:pPr>
              <w:snapToGrid w:val="0"/>
              <w:rPr>
                <w:rFonts w:ascii="宋体" w:hAnsi="宋体" w:cs="宋体"/>
                <w:color w:val="000000"/>
                <w:sz w:val="20"/>
                <w:szCs w:val="20"/>
              </w:rPr>
            </w:pPr>
          </w:p>
        </w:tc>
        <w:tc>
          <w:tcPr>
            <w:tcW w:w="221" w:type="dxa"/>
            <w:tcBorders>
              <w:top w:val="nil"/>
              <w:left w:val="nil"/>
              <w:bottom w:val="nil"/>
              <w:right w:val="nil"/>
            </w:tcBorders>
            <w:shd w:val="clear" w:color="auto" w:fill="auto"/>
            <w:noWrap/>
            <w:vAlign w:val="center"/>
          </w:tcPr>
          <w:p w14:paraId="631826B3" w14:textId="77777777" w:rsidR="00247A34" w:rsidRDefault="00247A34">
            <w:pPr>
              <w:snapToGrid w:val="0"/>
              <w:rPr>
                <w:rFonts w:ascii="宋体" w:hAnsi="宋体" w:cs="宋体"/>
                <w:color w:val="000000"/>
                <w:sz w:val="20"/>
                <w:szCs w:val="20"/>
              </w:rPr>
            </w:pPr>
          </w:p>
        </w:tc>
        <w:tc>
          <w:tcPr>
            <w:tcW w:w="221" w:type="dxa"/>
            <w:tcBorders>
              <w:top w:val="nil"/>
              <w:left w:val="nil"/>
              <w:bottom w:val="nil"/>
              <w:right w:val="nil"/>
            </w:tcBorders>
            <w:shd w:val="clear" w:color="auto" w:fill="auto"/>
            <w:noWrap/>
            <w:vAlign w:val="center"/>
          </w:tcPr>
          <w:p w14:paraId="409395C3" w14:textId="77777777" w:rsidR="00247A34" w:rsidRDefault="00247A34">
            <w:pPr>
              <w:snapToGrid w:val="0"/>
              <w:rPr>
                <w:rFonts w:ascii="宋体" w:hAnsi="宋体" w:cs="宋体"/>
                <w:color w:val="000000"/>
                <w:sz w:val="20"/>
                <w:szCs w:val="20"/>
              </w:rPr>
            </w:pPr>
          </w:p>
        </w:tc>
        <w:tc>
          <w:tcPr>
            <w:tcW w:w="222" w:type="dxa"/>
            <w:tcBorders>
              <w:top w:val="nil"/>
              <w:left w:val="nil"/>
              <w:bottom w:val="nil"/>
              <w:right w:val="nil"/>
            </w:tcBorders>
            <w:shd w:val="clear" w:color="auto" w:fill="auto"/>
            <w:noWrap/>
            <w:vAlign w:val="center"/>
          </w:tcPr>
          <w:p w14:paraId="1736185F" w14:textId="77777777" w:rsidR="00247A34" w:rsidRDefault="00247A34">
            <w:pPr>
              <w:snapToGrid w:val="0"/>
              <w:rPr>
                <w:rFonts w:ascii="宋体" w:hAnsi="宋体" w:cs="宋体"/>
                <w:color w:val="000000"/>
                <w:sz w:val="20"/>
                <w:szCs w:val="20"/>
              </w:rPr>
            </w:pPr>
          </w:p>
        </w:tc>
        <w:tc>
          <w:tcPr>
            <w:tcW w:w="222" w:type="dxa"/>
            <w:gridSpan w:val="2"/>
            <w:tcBorders>
              <w:top w:val="nil"/>
              <w:left w:val="nil"/>
              <w:bottom w:val="nil"/>
              <w:right w:val="nil"/>
            </w:tcBorders>
            <w:shd w:val="clear" w:color="auto" w:fill="auto"/>
            <w:noWrap/>
            <w:vAlign w:val="center"/>
          </w:tcPr>
          <w:p w14:paraId="10FEBA57" w14:textId="77777777" w:rsidR="00247A34" w:rsidRDefault="00247A34">
            <w:pPr>
              <w:snapToGrid w:val="0"/>
              <w:rPr>
                <w:rFonts w:ascii="宋体" w:hAnsi="宋体" w:cs="宋体"/>
                <w:color w:val="000000"/>
                <w:sz w:val="20"/>
                <w:szCs w:val="20"/>
              </w:rPr>
            </w:pPr>
          </w:p>
        </w:tc>
        <w:tc>
          <w:tcPr>
            <w:tcW w:w="222" w:type="dxa"/>
            <w:tcBorders>
              <w:top w:val="nil"/>
              <w:left w:val="nil"/>
              <w:bottom w:val="nil"/>
              <w:right w:val="nil"/>
            </w:tcBorders>
            <w:shd w:val="clear" w:color="auto" w:fill="auto"/>
            <w:noWrap/>
            <w:vAlign w:val="center"/>
          </w:tcPr>
          <w:p w14:paraId="0B3D5A74" w14:textId="77777777" w:rsidR="00247A34" w:rsidRDefault="00247A34">
            <w:pPr>
              <w:snapToGrid w:val="0"/>
              <w:rPr>
                <w:rFonts w:ascii="宋体" w:hAnsi="宋体" w:cs="宋体"/>
                <w:color w:val="000000"/>
                <w:sz w:val="20"/>
                <w:szCs w:val="20"/>
              </w:rPr>
            </w:pPr>
          </w:p>
        </w:tc>
        <w:tc>
          <w:tcPr>
            <w:tcW w:w="222" w:type="dxa"/>
            <w:tcBorders>
              <w:top w:val="nil"/>
              <w:left w:val="nil"/>
              <w:bottom w:val="nil"/>
              <w:right w:val="nil"/>
            </w:tcBorders>
            <w:shd w:val="clear" w:color="auto" w:fill="auto"/>
            <w:noWrap/>
            <w:vAlign w:val="center"/>
          </w:tcPr>
          <w:p w14:paraId="6557F63F" w14:textId="77777777" w:rsidR="00247A34" w:rsidRDefault="00247A34">
            <w:pPr>
              <w:snapToGrid w:val="0"/>
              <w:rPr>
                <w:rFonts w:ascii="宋体" w:hAnsi="宋体" w:cs="宋体"/>
                <w:color w:val="000000"/>
                <w:sz w:val="20"/>
                <w:szCs w:val="20"/>
              </w:rPr>
            </w:pPr>
          </w:p>
        </w:tc>
      </w:tr>
      <w:tr w:rsidR="00247A34" w14:paraId="609B9DD5" w14:textId="77777777">
        <w:tblPrEx>
          <w:jc w:val="center"/>
        </w:tblPrEx>
        <w:trPr>
          <w:gridAfter w:val="1"/>
          <w:wAfter w:w="283" w:type="dxa"/>
          <w:trHeight w:val="312"/>
          <w:jc w:val="center"/>
        </w:trPr>
        <w:tc>
          <w:tcPr>
            <w:tcW w:w="14174" w:type="dxa"/>
            <w:gridSpan w:val="24"/>
            <w:vMerge w:val="restart"/>
            <w:tcBorders>
              <w:top w:val="nil"/>
              <w:left w:val="nil"/>
              <w:bottom w:val="nil"/>
              <w:right w:val="nil"/>
            </w:tcBorders>
            <w:shd w:val="clear" w:color="auto" w:fill="auto"/>
            <w:vAlign w:val="center"/>
          </w:tcPr>
          <w:p w14:paraId="0DDC77F0"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最高限价及报价要求：</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2.1</w:t>
            </w:r>
            <w:r>
              <w:rPr>
                <w:rFonts w:ascii="宋体" w:hAnsi="宋体" w:cs="宋体" w:hint="eastAsia"/>
                <w:color w:val="000000"/>
                <w:kern w:val="0"/>
                <w:sz w:val="20"/>
                <w:szCs w:val="20"/>
                <w:lang w:bidi="ar"/>
              </w:rPr>
              <w:t>最高限价：工时单价限价不高于</w:t>
            </w:r>
            <w:r>
              <w:rPr>
                <w:rFonts w:ascii="宋体" w:hAnsi="宋体" w:cs="宋体" w:hint="eastAsia"/>
                <w:color w:val="000000"/>
                <w:kern w:val="0"/>
                <w:sz w:val="20"/>
                <w:szCs w:val="20"/>
                <w:lang w:bidi="ar"/>
              </w:rPr>
              <w:t>133</w:t>
            </w:r>
            <w:r>
              <w:rPr>
                <w:rFonts w:ascii="宋体" w:hAnsi="宋体" w:cs="宋体" w:hint="eastAsia"/>
                <w:color w:val="000000"/>
                <w:kern w:val="0"/>
                <w:sz w:val="20"/>
                <w:szCs w:val="20"/>
                <w:lang w:bidi="ar"/>
              </w:rPr>
              <w:t>元</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工时，材料进销差价率限价不高于</w:t>
            </w:r>
            <w:r>
              <w:rPr>
                <w:rFonts w:ascii="宋体" w:hAnsi="宋体" w:cs="宋体" w:hint="eastAsia"/>
                <w:color w:val="000000"/>
                <w:kern w:val="0"/>
                <w:sz w:val="20"/>
                <w:szCs w:val="20"/>
                <w:lang w:bidi="ar"/>
              </w:rPr>
              <w:t>20%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2.2</w:t>
            </w:r>
            <w:r>
              <w:rPr>
                <w:rFonts w:ascii="宋体" w:hAnsi="宋体" w:cs="宋体" w:hint="eastAsia"/>
                <w:color w:val="000000"/>
                <w:kern w:val="0"/>
                <w:sz w:val="20"/>
                <w:szCs w:val="20"/>
                <w:lang w:bidi="ar"/>
              </w:rPr>
              <w:t>供应商报价要求：</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）供应商的报价最多精确到小数点后两位，合计价精确到小数点后两位（四舍五入）；</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）供应商需在最高限价基础上适度下浮，并在询价单中明确以下价格：工时单价（元</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工时）、工时单价除以分包最高限价的数值（</w:t>
            </w:r>
            <w:r>
              <w:rPr>
                <w:rFonts w:ascii="宋体" w:hAnsi="宋体" w:cs="宋体" w:hint="eastAsia"/>
                <w:color w:val="000000"/>
                <w:kern w:val="0"/>
                <w:sz w:val="20"/>
                <w:szCs w:val="20"/>
                <w:lang w:bidi="ar"/>
              </w:rPr>
              <w:t>a%</w:t>
            </w:r>
            <w:r>
              <w:rPr>
                <w:rFonts w:ascii="宋体" w:hAnsi="宋体" w:cs="宋体" w:hint="eastAsia"/>
                <w:color w:val="000000"/>
                <w:kern w:val="0"/>
                <w:sz w:val="20"/>
                <w:szCs w:val="20"/>
                <w:lang w:bidi="ar"/>
              </w:rPr>
              <w:t>）、材料进销差价率（</w:t>
            </w:r>
            <w:r>
              <w:rPr>
                <w:rFonts w:ascii="宋体" w:hAnsi="宋体" w:cs="宋体" w:hint="eastAsia"/>
                <w:color w:val="000000"/>
                <w:kern w:val="0"/>
                <w:sz w:val="20"/>
                <w:szCs w:val="20"/>
                <w:lang w:bidi="ar"/>
              </w:rPr>
              <w:t>b%</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）合计价</w:t>
            </w:r>
            <w:r>
              <w:rPr>
                <w:rFonts w:ascii="宋体" w:hAnsi="宋体" w:cs="宋体" w:hint="eastAsia"/>
                <w:color w:val="000000"/>
                <w:kern w:val="0"/>
                <w:sz w:val="20"/>
                <w:szCs w:val="20"/>
                <w:lang w:bidi="ar"/>
              </w:rPr>
              <w:t>=a</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50%+b</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50%</w:t>
            </w:r>
            <w:r>
              <w:rPr>
                <w:rFonts w:ascii="宋体" w:hAnsi="宋体" w:cs="宋体" w:hint="eastAsia"/>
                <w:color w:val="000000"/>
                <w:kern w:val="0"/>
                <w:sz w:val="20"/>
                <w:szCs w:val="20"/>
                <w:lang w:bidi="ar"/>
              </w:rPr>
              <w:t>。合计价中工时单价计算权重为</w:t>
            </w:r>
            <w:r>
              <w:rPr>
                <w:rFonts w:ascii="宋体" w:hAnsi="宋体" w:cs="宋体" w:hint="eastAsia"/>
                <w:color w:val="000000"/>
                <w:kern w:val="0"/>
                <w:sz w:val="20"/>
                <w:szCs w:val="20"/>
                <w:lang w:bidi="ar"/>
              </w:rPr>
              <w:t>50%</w:t>
            </w:r>
            <w:r>
              <w:rPr>
                <w:rFonts w:ascii="宋体" w:hAnsi="宋体" w:cs="宋体" w:hint="eastAsia"/>
                <w:color w:val="000000"/>
                <w:kern w:val="0"/>
                <w:sz w:val="20"/>
                <w:szCs w:val="20"/>
                <w:lang w:bidi="ar"/>
              </w:rPr>
              <w:t>，材料进销差价率计算权重为</w:t>
            </w:r>
            <w:r>
              <w:rPr>
                <w:rFonts w:ascii="宋体" w:hAnsi="宋体" w:cs="宋体" w:hint="eastAsia"/>
                <w:color w:val="000000"/>
                <w:kern w:val="0"/>
                <w:sz w:val="20"/>
                <w:szCs w:val="20"/>
                <w:lang w:bidi="ar"/>
              </w:rPr>
              <w:t>50%</w:t>
            </w:r>
            <w:r>
              <w:rPr>
                <w:rFonts w:ascii="宋体" w:hAnsi="宋体" w:cs="宋体" w:hint="eastAsia"/>
                <w:color w:val="000000"/>
                <w:kern w:val="0"/>
                <w:sz w:val="20"/>
                <w:szCs w:val="20"/>
                <w:lang w:bidi="ar"/>
              </w:rPr>
              <w:t>。综合计算后，得数（价格）低的供应商，并满足以下条款，排序在前。</w:t>
            </w:r>
          </w:p>
        </w:tc>
      </w:tr>
      <w:tr w:rsidR="00247A34" w14:paraId="2262DAA8" w14:textId="77777777">
        <w:tblPrEx>
          <w:jc w:val="center"/>
        </w:tblPrEx>
        <w:trPr>
          <w:gridAfter w:val="1"/>
          <w:wAfter w:w="283" w:type="dxa"/>
          <w:trHeight w:val="312"/>
          <w:jc w:val="center"/>
        </w:trPr>
        <w:tc>
          <w:tcPr>
            <w:tcW w:w="14174" w:type="dxa"/>
            <w:gridSpan w:val="24"/>
            <w:vMerge/>
            <w:tcBorders>
              <w:top w:val="nil"/>
              <w:left w:val="nil"/>
              <w:bottom w:val="nil"/>
              <w:right w:val="nil"/>
            </w:tcBorders>
            <w:shd w:val="clear" w:color="auto" w:fill="auto"/>
            <w:vAlign w:val="center"/>
          </w:tcPr>
          <w:p w14:paraId="0A7BCA2D" w14:textId="77777777" w:rsidR="00247A34" w:rsidRDefault="00247A34">
            <w:pPr>
              <w:snapToGrid w:val="0"/>
              <w:jc w:val="left"/>
              <w:rPr>
                <w:rFonts w:ascii="宋体" w:hAnsi="宋体" w:cs="宋体"/>
                <w:color w:val="000000"/>
                <w:sz w:val="20"/>
                <w:szCs w:val="20"/>
              </w:rPr>
            </w:pPr>
          </w:p>
        </w:tc>
      </w:tr>
      <w:tr w:rsidR="00247A34" w14:paraId="257A5CAF" w14:textId="77777777">
        <w:tblPrEx>
          <w:jc w:val="center"/>
        </w:tblPrEx>
        <w:trPr>
          <w:gridAfter w:val="1"/>
          <w:wAfter w:w="283" w:type="dxa"/>
          <w:jc w:val="center"/>
        </w:trPr>
        <w:tc>
          <w:tcPr>
            <w:tcW w:w="14174" w:type="dxa"/>
            <w:gridSpan w:val="24"/>
            <w:tcBorders>
              <w:top w:val="nil"/>
              <w:left w:val="nil"/>
              <w:bottom w:val="nil"/>
              <w:right w:val="nil"/>
            </w:tcBorders>
            <w:shd w:val="clear" w:color="auto" w:fill="auto"/>
            <w:vAlign w:val="center"/>
          </w:tcPr>
          <w:p w14:paraId="0197C079"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省市交通运管部门批准的一类汽车维修资质证书（大型客车的维修设备和厂房），本项目不接受联合体参与。</w:t>
            </w:r>
          </w:p>
        </w:tc>
      </w:tr>
      <w:tr w:rsidR="00247A34" w14:paraId="22879C09" w14:textId="77777777">
        <w:tblPrEx>
          <w:jc w:val="center"/>
        </w:tblPrEx>
        <w:trPr>
          <w:gridAfter w:val="1"/>
          <w:wAfter w:w="283" w:type="dxa"/>
          <w:jc w:val="center"/>
        </w:trPr>
        <w:tc>
          <w:tcPr>
            <w:tcW w:w="14174" w:type="dxa"/>
            <w:gridSpan w:val="24"/>
            <w:tcBorders>
              <w:top w:val="nil"/>
              <w:left w:val="nil"/>
              <w:bottom w:val="nil"/>
              <w:right w:val="nil"/>
            </w:tcBorders>
            <w:shd w:val="clear" w:color="auto" w:fill="auto"/>
            <w:vAlign w:val="center"/>
          </w:tcPr>
          <w:p w14:paraId="433F8EBA"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供应商对使用方清单中的公务车辆进行维修保养，应登记明细、维修内容、制作估价单。因特殊情况，乙方无法修理，需转送市外或非定点维修厂家修理的，须出具相应说明，不得</w:t>
            </w:r>
            <w:proofErr w:type="gramStart"/>
            <w:r>
              <w:rPr>
                <w:rFonts w:ascii="宋体" w:hAnsi="宋体" w:cs="宋体" w:hint="eastAsia"/>
                <w:color w:val="000000"/>
                <w:kern w:val="0"/>
                <w:sz w:val="20"/>
                <w:szCs w:val="20"/>
                <w:lang w:bidi="ar"/>
              </w:rPr>
              <w:t>无理由拒接</w:t>
            </w:r>
            <w:proofErr w:type="gramEnd"/>
            <w:r>
              <w:rPr>
                <w:rFonts w:ascii="宋体" w:hAnsi="宋体" w:cs="宋体" w:hint="eastAsia"/>
                <w:color w:val="000000"/>
                <w:kern w:val="0"/>
                <w:sz w:val="20"/>
                <w:szCs w:val="20"/>
                <w:lang w:bidi="ar"/>
              </w:rPr>
              <w:t>采购清单中的车辆。</w:t>
            </w:r>
          </w:p>
        </w:tc>
      </w:tr>
      <w:tr w:rsidR="00247A34" w14:paraId="796A68E5" w14:textId="77777777">
        <w:tblPrEx>
          <w:jc w:val="center"/>
        </w:tblPrEx>
        <w:trPr>
          <w:gridAfter w:val="1"/>
          <w:wAfter w:w="283" w:type="dxa"/>
          <w:jc w:val="center"/>
        </w:trPr>
        <w:tc>
          <w:tcPr>
            <w:tcW w:w="14174" w:type="dxa"/>
            <w:gridSpan w:val="24"/>
            <w:tcBorders>
              <w:top w:val="nil"/>
              <w:left w:val="nil"/>
              <w:bottom w:val="nil"/>
              <w:right w:val="nil"/>
            </w:tcBorders>
            <w:shd w:val="clear" w:color="auto" w:fill="auto"/>
            <w:noWrap/>
            <w:vAlign w:val="center"/>
          </w:tcPr>
          <w:p w14:paraId="1A38E6D0"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维修人员更换配件时，向送修单位明确该新件是原厂件还是副厂件，同时换下的旧件应做好登记交库房保存，车辆维修好后，需通知送修单位过来验收。</w:t>
            </w:r>
          </w:p>
        </w:tc>
      </w:tr>
      <w:tr w:rsidR="00247A34" w14:paraId="2D081FA3" w14:textId="77777777">
        <w:tblPrEx>
          <w:jc w:val="center"/>
        </w:tblPrEx>
        <w:trPr>
          <w:gridAfter w:val="1"/>
          <w:wAfter w:w="283" w:type="dxa"/>
          <w:jc w:val="center"/>
        </w:trPr>
        <w:tc>
          <w:tcPr>
            <w:tcW w:w="14174" w:type="dxa"/>
            <w:gridSpan w:val="24"/>
            <w:tcBorders>
              <w:top w:val="nil"/>
              <w:left w:val="nil"/>
              <w:bottom w:val="nil"/>
              <w:right w:val="nil"/>
            </w:tcBorders>
            <w:shd w:val="clear" w:color="auto" w:fill="auto"/>
            <w:vAlign w:val="center"/>
          </w:tcPr>
          <w:p w14:paraId="3B1056EE"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所采用的零部件、配件等材料必须符合国家或部颁标准和行业标准以及汽车维修相关标准。必须是合法的进货渠道的正品，不得使用假冒伪劣产品或以次充好。经送修单位同意，可以用替代件或旧件的，定点维修企业必须在材料清单中加以注明，否则不得使用替代件或旧件。</w:t>
            </w:r>
          </w:p>
        </w:tc>
      </w:tr>
      <w:tr w:rsidR="00247A34" w14:paraId="68545E7E" w14:textId="77777777">
        <w:tblPrEx>
          <w:jc w:val="center"/>
        </w:tblPrEx>
        <w:trPr>
          <w:gridAfter w:val="1"/>
          <w:wAfter w:w="283" w:type="dxa"/>
          <w:jc w:val="center"/>
        </w:trPr>
        <w:tc>
          <w:tcPr>
            <w:tcW w:w="14174" w:type="dxa"/>
            <w:gridSpan w:val="24"/>
            <w:tcBorders>
              <w:top w:val="nil"/>
              <w:left w:val="nil"/>
              <w:bottom w:val="nil"/>
              <w:right w:val="nil"/>
            </w:tcBorders>
            <w:shd w:val="clear" w:color="auto" w:fill="auto"/>
            <w:vAlign w:val="center"/>
          </w:tcPr>
          <w:p w14:paraId="50CB6E06" w14:textId="77777777" w:rsidR="00247A34" w:rsidRDefault="00BC4D66">
            <w:pPr>
              <w:widowControl/>
              <w:snapToGrid w:val="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售后要求：被</w:t>
            </w:r>
            <w:proofErr w:type="gramStart"/>
            <w:r>
              <w:rPr>
                <w:rFonts w:ascii="宋体" w:hAnsi="宋体" w:cs="宋体" w:hint="eastAsia"/>
                <w:color w:val="000000"/>
                <w:kern w:val="0"/>
                <w:sz w:val="20"/>
                <w:szCs w:val="20"/>
                <w:lang w:bidi="ar"/>
              </w:rPr>
              <w:t>修车辆</w:t>
            </w:r>
            <w:proofErr w:type="gramEnd"/>
            <w:r>
              <w:rPr>
                <w:rFonts w:ascii="宋体" w:hAnsi="宋体" w:cs="宋体" w:hint="eastAsia"/>
                <w:color w:val="000000"/>
                <w:kern w:val="0"/>
                <w:sz w:val="20"/>
                <w:szCs w:val="20"/>
                <w:lang w:bidi="ar"/>
              </w:rPr>
              <w:t>达不到规定的质量标准和技术要求的，返修不得再计价收费。车辆竣工出厂执行质量保证期制度，不能低于中华人民共和国交通运输部所颁布的《交通运输部关于修改〈机动车维修管理规定〉的决定（交通运输部令</w:t>
            </w:r>
            <w:r>
              <w:rPr>
                <w:rFonts w:ascii="宋体" w:hAnsi="宋体" w:cs="宋体" w:hint="eastAsia"/>
                <w:color w:val="000000"/>
                <w:kern w:val="0"/>
                <w:sz w:val="20"/>
                <w:szCs w:val="20"/>
                <w:lang w:bidi="ar"/>
              </w:rPr>
              <w:t>2019</w:t>
            </w:r>
            <w:r>
              <w:rPr>
                <w:rFonts w:ascii="宋体" w:hAnsi="宋体" w:cs="宋体" w:hint="eastAsia"/>
                <w:color w:val="000000"/>
                <w:kern w:val="0"/>
                <w:sz w:val="20"/>
                <w:szCs w:val="20"/>
                <w:lang w:bidi="ar"/>
              </w:rPr>
              <w:t>年第</w:t>
            </w:r>
            <w:r>
              <w:rPr>
                <w:rFonts w:ascii="宋体" w:hAnsi="宋体" w:cs="宋体" w:hint="eastAsia"/>
                <w:color w:val="000000"/>
                <w:kern w:val="0"/>
                <w:sz w:val="20"/>
                <w:szCs w:val="20"/>
                <w:lang w:bidi="ar"/>
              </w:rPr>
              <w:t>20</w:t>
            </w:r>
            <w:r>
              <w:rPr>
                <w:rFonts w:ascii="宋体" w:hAnsi="宋体" w:cs="宋体" w:hint="eastAsia"/>
                <w:color w:val="000000"/>
                <w:kern w:val="0"/>
                <w:sz w:val="20"/>
                <w:szCs w:val="20"/>
                <w:lang w:bidi="ar"/>
              </w:rPr>
              <w:t>号）》的标准。（供应商可对此提供更优</w:t>
            </w:r>
            <w:r>
              <w:rPr>
                <w:rFonts w:ascii="宋体" w:hAnsi="宋体" w:cs="宋体" w:hint="eastAsia"/>
                <w:color w:val="000000"/>
                <w:kern w:val="0"/>
                <w:sz w:val="20"/>
                <w:szCs w:val="20"/>
                <w:lang w:bidi="ar"/>
              </w:rPr>
              <w:t>的方案）。</w:t>
            </w:r>
          </w:p>
        </w:tc>
      </w:tr>
    </w:tbl>
    <w:p w14:paraId="08FFB8ED" w14:textId="77777777" w:rsidR="00247A34" w:rsidRDefault="00247A34">
      <w:pPr>
        <w:tabs>
          <w:tab w:val="left" w:pos="6300"/>
        </w:tabs>
        <w:snapToGrid w:val="0"/>
        <w:spacing w:line="300" w:lineRule="exact"/>
        <w:rPr>
          <w:rFonts w:ascii="宋体" w:hAnsi="宋体" w:cs="宋体" w:hint="eastAsia"/>
          <w:b/>
          <w:bCs/>
          <w:kern w:val="0"/>
          <w:sz w:val="28"/>
          <w:szCs w:val="28"/>
          <w:shd w:val="clear" w:color="auto" w:fill="FFFFFF"/>
          <w:lang w:bidi="ar"/>
        </w:rPr>
      </w:pPr>
    </w:p>
    <w:p w14:paraId="09565E21" w14:textId="77777777" w:rsidR="00247A34" w:rsidRDefault="00247A34">
      <w:pPr>
        <w:tabs>
          <w:tab w:val="left" w:pos="6300"/>
        </w:tabs>
        <w:snapToGrid w:val="0"/>
        <w:spacing w:line="300" w:lineRule="exact"/>
        <w:rPr>
          <w:rFonts w:ascii="宋体" w:hAnsi="宋体" w:cs="宋体" w:hint="eastAsia"/>
          <w:b/>
          <w:bCs/>
          <w:kern w:val="0"/>
          <w:sz w:val="28"/>
          <w:szCs w:val="28"/>
          <w:shd w:val="clear" w:color="auto" w:fill="FFFFFF"/>
          <w:lang w:bidi="ar"/>
        </w:rPr>
      </w:pPr>
    </w:p>
    <w:p w14:paraId="7C00CFC2" w14:textId="77777777" w:rsidR="000B0C61" w:rsidRDefault="000B0C61">
      <w:pPr>
        <w:pStyle w:val="a5"/>
        <w:widowControl/>
        <w:spacing w:beforeAutospacing="0" w:line="540" w:lineRule="exact"/>
        <w:rPr>
          <w:rFonts w:ascii="宋体" w:hAnsi="宋体" w:cs="宋体"/>
          <w:b/>
          <w:bCs/>
          <w:sz w:val="28"/>
          <w:szCs w:val="28"/>
          <w:shd w:val="clear" w:color="auto" w:fill="FFFFFF"/>
          <w:lang w:bidi="ar"/>
        </w:rPr>
      </w:pPr>
    </w:p>
    <w:p w14:paraId="48FDED87" w14:textId="41448075" w:rsidR="00247A34" w:rsidRDefault="00BC4D66">
      <w:pPr>
        <w:pStyle w:val="a5"/>
        <w:widowControl/>
        <w:spacing w:beforeAutospacing="0" w:line="540" w:lineRule="exact"/>
        <w:rPr>
          <w:rFonts w:ascii="Noto Sans SC" w:eastAsia="Noto Sans SC" w:hAnsi="Noto Sans SC" w:cs="Noto Sans SC"/>
          <w:color w:val="000000"/>
          <w:sz w:val="27"/>
          <w:szCs w:val="27"/>
        </w:rPr>
      </w:pPr>
      <w:r>
        <w:rPr>
          <w:rFonts w:ascii="宋体" w:hAnsi="宋体" w:cs="宋体" w:hint="eastAsia"/>
          <w:b/>
          <w:bCs/>
          <w:sz w:val="28"/>
          <w:szCs w:val="28"/>
          <w:shd w:val="clear" w:color="auto" w:fill="FFFFFF"/>
          <w:lang w:bidi="ar"/>
        </w:rPr>
        <w:lastRenderedPageBreak/>
        <w:t>附件二</w:t>
      </w:r>
      <w:r>
        <w:rPr>
          <w:rFonts w:ascii="宋体" w:hAnsi="宋体" w:cs="宋体" w:hint="eastAsia"/>
          <w:sz w:val="28"/>
          <w:szCs w:val="28"/>
          <w:shd w:val="clear" w:color="auto" w:fill="FFFFFF"/>
          <w:lang w:bidi="ar"/>
        </w:rPr>
        <w:t xml:space="preserve"> </w:t>
      </w:r>
      <w:r>
        <w:rPr>
          <w:rFonts w:ascii="宋体" w:hAnsi="宋体" w:cs="宋体" w:hint="eastAsia"/>
          <w:sz w:val="28"/>
          <w:szCs w:val="28"/>
          <w:shd w:val="clear" w:color="auto" w:fill="FFFFFF"/>
          <w:lang w:bidi="ar"/>
        </w:rPr>
        <w:t xml:space="preserve">                 </w:t>
      </w:r>
      <w:r>
        <w:rPr>
          <w:rFonts w:ascii="宋体" w:hAnsi="宋体" w:cs="宋体" w:hint="eastAsia"/>
          <w:b/>
          <w:bCs/>
          <w:color w:val="000000"/>
          <w:sz w:val="32"/>
          <w:szCs w:val="32"/>
        </w:rPr>
        <w:t>履行“</w:t>
      </w:r>
      <w:r>
        <w:rPr>
          <w:rFonts w:ascii="宋体" w:hAnsi="宋体" w:cs="宋体" w:hint="eastAsia"/>
          <w:b/>
          <w:bCs/>
          <w:color w:val="000000"/>
          <w:sz w:val="32"/>
          <w:szCs w:val="32"/>
        </w:rPr>
        <w:t>中国药科大学</w:t>
      </w:r>
      <w:r>
        <w:rPr>
          <w:rFonts w:ascii="宋体" w:hAnsi="宋体" w:cs="宋体" w:hint="eastAsia"/>
          <w:b/>
          <w:bCs/>
          <w:sz w:val="32"/>
          <w:szCs w:val="32"/>
        </w:rPr>
        <w:t>机动</w:t>
      </w:r>
      <w:r>
        <w:rPr>
          <w:rFonts w:ascii="宋体" w:hAnsi="宋体" w:cs="宋体" w:hint="eastAsia"/>
          <w:b/>
          <w:bCs/>
          <w:sz w:val="32"/>
          <w:szCs w:val="32"/>
        </w:rPr>
        <w:t>车</w:t>
      </w:r>
      <w:r>
        <w:rPr>
          <w:rFonts w:ascii="宋体" w:hAnsi="宋体" w:cs="宋体" w:hint="eastAsia"/>
          <w:b/>
          <w:bCs/>
          <w:sz w:val="32"/>
          <w:szCs w:val="32"/>
        </w:rPr>
        <w:t>辆维修</w:t>
      </w:r>
      <w:r>
        <w:rPr>
          <w:rFonts w:ascii="宋体" w:hAnsi="宋体" w:cs="宋体" w:hint="eastAsia"/>
          <w:b/>
          <w:bCs/>
          <w:sz w:val="32"/>
          <w:szCs w:val="32"/>
        </w:rPr>
        <w:t>保养</w:t>
      </w:r>
      <w:r>
        <w:rPr>
          <w:rFonts w:ascii="宋体" w:hAnsi="宋体" w:cs="宋体" w:hint="eastAsia"/>
          <w:b/>
          <w:bCs/>
          <w:sz w:val="32"/>
          <w:szCs w:val="32"/>
        </w:rPr>
        <w:t>服务</w:t>
      </w:r>
      <w:r>
        <w:rPr>
          <w:rFonts w:ascii="宋体" w:hAnsi="宋体" w:cs="宋体" w:hint="eastAsia"/>
          <w:b/>
          <w:bCs/>
          <w:color w:val="000000"/>
          <w:sz w:val="32"/>
          <w:szCs w:val="32"/>
        </w:rPr>
        <w:t>”承诺书</w:t>
      </w:r>
      <w:bookmarkStart w:id="0" w:name="_GoBack"/>
      <w:bookmarkEnd w:id="0"/>
    </w:p>
    <w:p w14:paraId="73D64F41" w14:textId="77777777" w:rsidR="00247A34" w:rsidRPr="000B0C61" w:rsidRDefault="00BC4D66">
      <w:pPr>
        <w:pStyle w:val="a5"/>
        <w:widowControl/>
        <w:spacing w:beforeAutospacing="0" w:line="540" w:lineRule="exact"/>
        <w:rPr>
          <w:rFonts w:ascii="宋体" w:hAnsi="宋体" w:cs="宋体"/>
          <w:color w:val="000000"/>
          <w:sz w:val="26"/>
          <w:szCs w:val="26"/>
        </w:rPr>
      </w:pPr>
      <w:r w:rsidRPr="000B0C61">
        <w:rPr>
          <w:rFonts w:ascii="宋体" w:hAnsi="宋体" w:cs="宋体" w:hint="eastAsia"/>
          <w:color w:val="000000"/>
          <w:sz w:val="26"/>
          <w:szCs w:val="26"/>
        </w:rPr>
        <w:t>致：</w:t>
      </w:r>
      <w:r w:rsidRPr="000B0C61">
        <w:rPr>
          <w:rFonts w:ascii="宋体" w:hAnsi="宋体" w:cs="宋体" w:hint="eastAsia"/>
          <w:color w:val="000000"/>
          <w:sz w:val="26"/>
          <w:szCs w:val="26"/>
          <w:u w:val="single"/>
        </w:rPr>
        <w:t xml:space="preserve">                      </w:t>
      </w:r>
      <w:r w:rsidRPr="000B0C61">
        <w:rPr>
          <w:rFonts w:ascii="宋体" w:hAnsi="宋体" w:cs="宋体" w:hint="eastAsia"/>
          <w:color w:val="000000"/>
          <w:sz w:val="26"/>
          <w:szCs w:val="26"/>
          <w:u w:val="single"/>
        </w:rPr>
        <w:t xml:space="preserve"> </w:t>
      </w:r>
      <w:r w:rsidRPr="000B0C61">
        <w:rPr>
          <w:rFonts w:ascii="宋体" w:hAnsi="宋体" w:cs="宋体" w:hint="eastAsia"/>
          <w:color w:val="000000"/>
          <w:sz w:val="26"/>
          <w:szCs w:val="26"/>
        </w:rPr>
        <w:t>（询价采购人名称）：</w:t>
      </w:r>
    </w:p>
    <w:p w14:paraId="5E9C0FAC" w14:textId="77777777" w:rsidR="00247A34" w:rsidRPr="000B0C61" w:rsidRDefault="00BC4D66">
      <w:pPr>
        <w:widowControl/>
        <w:shd w:val="clear" w:color="auto" w:fill="FFFFFF"/>
        <w:spacing w:after="150" w:line="540" w:lineRule="exact"/>
        <w:ind w:firstLine="840"/>
        <w:rPr>
          <w:rFonts w:ascii="宋体" w:hAnsi="宋体" w:cs="宋体"/>
          <w:color w:val="000000"/>
          <w:sz w:val="26"/>
          <w:szCs w:val="26"/>
        </w:rPr>
      </w:pPr>
      <w:r w:rsidRPr="000B0C61">
        <w:rPr>
          <w:rFonts w:ascii="宋体" w:hAnsi="宋体" w:cs="宋体" w:hint="eastAsia"/>
          <w:color w:val="000000"/>
          <w:sz w:val="26"/>
          <w:szCs w:val="26"/>
        </w:rPr>
        <w:t>本公司：</w:t>
      </w:r>
      <w:r w:rsidRPr="000B0C61">
        <w:rPr>
          <w:rFonts w:ascii="宋体" w:hAnsi="宋体" w:cs="宋体" w:hint="eastAsia"/>
          <w:color w:val="000000"/>
          <w:sz w:val="26"/>
          <w:szCs w:val="26"/>
          <w:u w:val="single"/>
        </w:rPr>
        <w:t xml:space="preserve"> </w:t>
      </w:r>
      <w:r w:rsidRPr="000B0C61">
        <w:rPr>
          <w:rFonts w:ascii="宋体" w:hAnsi="宋体" w:cs="宋体" w:hint="eastAsia"/>
          <w:color w:val="000000"/>
          <w:sz w:val="26"/>
          <w:szCs w:val="26"/>
          <w:u w:val="single"/>
        </w:rPr>
        <w:t xml:space="preserve">                       </w:t>
      </w:r>
      <w:r w:rsidRPr="000B0C61">
        <w:rPr>
          <w:rFonts w:ascii="宋体" w:hAnsi="宋体" w:cs="宋体" w:hint="eastAsia"/>
          <w:color w:val="000000"/>
          <w:sz w:val="26"/>
          <w:szCs w:val="26"/>
        </w:rPr>
        <w:t>（投标人公司名称）现郑重承诺</w:t>
      </w:r>
      <w:r w:rsidRPr="000B0C61">
        <w:rPr>
          <w:rFonts w:ascii="宋体" w:hAnsi="宋体" w:cs="宋体" w:hint="eastAsia"/>
          <w:color w:val="000000"/>
          <w:sz w:val="26"/>
          <w:szCs w:val="26"/>
        </w:rPr>
        <w:t>：</w:t>
      </w:r>
    </w:p>
    <w:p w14:paraId="112D4F2D" w14:textId="77777777" w:rsidR="00247A34" w:rsidRPr="000B0C61" w:rsidRDefault="00BC4D66">
      <w:pPr>
        <w:widowControl/>
        <w:shd w:val="clear" w:color="auto" w:fill="FFFFFF"/>
        <w:spacing w:after="150" w:line="540" w:lineRule="exact"/>
        <w:ind w:firstLine="840"/>
        <w:rPr>
          <w:rFonts w:ascii="宋体" w:hAnsi="宋体" w:cs="宋体"/>
          <w:color w:val="000000"/>
          <w:kern w:val="0"/>
          <w:sz w:val="26"/>
          <w:szCs w:val="26"/>
          <w:lang w:bidi="ar"/>
        </w:rPr>
      </w:pPr>
      <w:r w:rsidRPr="000B0C61">
        <w:rPr>
          <w:rFonts w:ascii="宋体" w:hAnsi="宋体" w:cs="宋体" w:hint="eastAsia"/>
          <w:color w:val="000000"/>
          <w:kern w:val="0"/>
          <w:sz w:val="26"/>
          <w:szCs w:val="26"/>
          <w:lang w:bidi="ar"/>
        </w:rPr>
        <w:t>1</w:t>
      </w:r>
      <w:r w:rsidRPr="000B0C61">
        <w:rPr>
          <w:rFonts w:ascii="宋体" w:hAnsi="宋体" w:cs="宋体" w:hint="eastAsia"/>
          <w:color w:val="000000"/>
          <w:kern w:val="0"/>
          <w:sz w:val="26"/>
          <w:szCs w:val="26"/>
          <w:lang w:bidi="ar"/>
        </w:rPr>
        <w:t>，维修快捷，随到随修，设有专用工位。</w:t>
      </w:r>
    </w:p>
    <w:p w14:paraId="58136EA8" w14:textId="77777777" w:rsidR="00247A34" w:rsidRPr="000B0C61" w:rsidRDefault="00BC4D66">
      <w:pPr>
        <w:widowControl/>
        <w:shd w:val="clear" w:color="auto" w:fill="FFFFFF"/>
        <w:spacing w:after="150" w:line="540" w:lineRule="exact"/>
        <w:ind w:firstLine="840"/>
        <w:rPr>
          <w:rFonts w:ascii="宋体" w:hAnsi="宋体" w:cs="宋体"/>
          <w:color w:val="000000"/>
          <w:kern w:val="0"/>
          <w:sz w:val="26"/>
          <w:szCs w:val="26"/>
          <w:lang w:bidi="ar"/>
        </w:rPr>
      </w:pPr>
      <w:r w:rsidRPr="000B0C61">
        <w:rPr>
          <w:rFonts w:ascii="宋体" w:hAnsi="宋体" w:cs="宋体" w:hint="eastAsia"/>
          <w:color w:val="000000"/>
          <w:kern w:val="0"/>
          <w:sz w:val="26"/>
          <w:szCs w:val="26"/>
          <w:lang w:bidi="ar"/>
        </w:rPr>
        <w:t>2</w:t>
      </w:r>
      <w:r w:rsidRPr="000B0C61">
        <w:rPr>
          <w:rFonts w:ascii="宋体" w:hAnsi="宋体" w:cs="宋体" w:hint="eastAsia"/>
          <w:color w:val="000000"/>
          <w:kern w:val="0"/>
          <w:sz w:val="26"/>
          <w:szCs w:val="26"/>
          <w:lang w:bidi="ar"/>
        </w:rPr>
        <w:t>，</w:t>
      </w:r>
      <w:r w:rsidRPr="000B0C61">
        <w:rPr>
          <w:rFonts w:ascii="宋体" w:hAnsi="宋体" w:cs="宋体" w:hint="eastAsia"/>
          <w:color w:val="000000"/>
          <w:kern w:val="0"/>
          <w:sz w:val="26"/>
          <w:szCs w:val="26"/>
          <w:lang w:bidi="ar"/>
        </w:rPr>
        <w:t>24</w:t>
      </w:r>
      <w:r w:rsidRPr="000B0C61">
        <w:rPr>
          <w:rFonts w:ascii="宋体" w:hAnsi="宋体" w:cs="宋体" w:hint="eastAsia"/>
          <w:color w:val="000000"/>
          <w:kern w:val="0"/>
          <w:sz w:val="26"/>
          <w:szCs w:val="26"/>
          <w:lang w:bidi="ar"/>
        </w:rPr>
        <w:t>小时救援服务，随时响应，</w:t>
      </w:r>
      <w:r w:rsidRPr="000B0C61">
        <w:rPr>
          <w:rFonts w:ascii="宋体" w:hAnsi="宋体" w:cs="宋体" w:hint="eastAsia"/>
          <w:color w:val="000000"/>
          <w:kern w:val="0"/>
          <w:sz w:val="26"/>
          <w:szCs w:val="26"/>
          <w:lang w:bidi="ar"/>
        </w:rPr>
        <w:t>100</w:t>
      </w:r>
      <w:r w:rsidRPr="000B0C61">
        <w:rPr>
          <w:rFonts w:ascii="宋体" w:hAnsi="宋体" w:cs="宋体" w:hint="eastAsia"/>
          <w:color w:val="000000"/>
          <w:kern w:val="0"/>
          <w:sz w:val="26"/>
          <w:szCs w:val="26"/>
          <w:lang w:bidi="ar"/>
        </w:rPr>
        <w:t>公里范围内拖车免费。</w:t>
      </w:r>
    </w:p>
    <w:p w14:paraId="533C87EB" w14:textId="77777777" w:rsidR="00247A34" w:rsidRPr="000B0C61" w:rsidRDefault="00BC4D66">
      <w:pPr>
        <w:widowControl/>
        <w:shd w:val="clear" w:color="auto" w:fill="FFFFFF"/>
        <w:spacing w:after="150" w:line="540" w:lineRule="exact"/>
        <w:ind w:firstLine="840"/>
        <w:rPr>
          <w:rFonts w:ascii="宋体" w:hAnsi="宋体" w:cs="宋体"/>
          <w:color w:val="000000"/>
          <w:kern w:val="0"/>
          <w:sz w:val="26"/>
          <w:szCs w:val="26"/>
          <w:lang w:bidi="ar"/>
        </w:rPr>
      </w:pPr>
      <w:r w:rsidRPr="000B0C61">
        <w:rPr>
          <w:rFonts w:ascii="宋体" w:hAnsi="宋体" w:cs="宋体" w:hint="eastAsia"/>
          <w:color w:val="000000"/>
          <w:kern w:val="0"/>
          <w:sz w:val="26"/>
          <w:szCs w:val="26"/>
          <w:lang w:bidi="ar"/>
        </w:rPr>
        <w:t>3</w:t>
      </w:r>
      <w:r w:rsidRPr="000B0C61">
        <w:rPr>
          <w:rFonts w:ascii="宋体" w:hAnsi="宋体" w:cs="宋体" w:hint="eastAsia"/>
          <w:color w:val="000000"/>
          <w:kern w:val="0"/>
          <w:sz w:val="26"/>
          <w:szCs w:val="26"/>
          <w:lang w:bidi="ar"/>
        </w:rPr>
        <w:t>，使用正牌配件，维修质量合格，免费质保期</w:t>
      </w:r>
      <w:proofErr w:type="gramStart"/>
      <w:r w:rsidRPr="000B0C61">
        <w:rPr>
          <w:rFonts w:ascii="宋体" w:hAnsi="宋体" w:cs="宋体" w:hint="eastAsia"/>
          <w:color w:val="000000"/>
          <w:kern w:val="0"/>
          <w:sz w:val="26"/>
          <w:szCs w:val="26"/>
          <w:lang w:bidi="ar"/>
        </w:rPr>
        <w:t>自项目</w:t>
      </w:r>
      <w:proofErr w:type="gramEnd"/>
      <w:r w:rsidRPr="000B0C61">
        <w:rPr>
          <w:rFonts w:ascii="宋体" w:hAnsi="宋体" w:cs="宋体" w:hint="eastAsia"/>
          <w:color w:val="000000"/>
          <w:kern w:val="0"/>
          <w:sz w:val="26"/>
          <w:szCs w:val="26"/>
          <w:lang w:bidi="ar"/>
        </w:rPr>
        <w:t>验收合格之日起</w:t>
      </w:r>
      <w:r w:rsidRPr="000B0C61">
        <w:rPr>
          <w:rFonts w:ascii="宋体" w:hAnsi="宋体" w:cs="宋体" w:hint="eastAsia"/>
          <w:color w:val="000000"/>
          <w:kern w:val="0"/>
          <w:sz w:val="26"/>
          <w:szCs w:val="26"/>
          <w:lang w:bidi="ar"/>
        </w:rPr>
        <w:t>12</w:t>
      </w:r>
      <w:r w:rsidRPr="000B0C61">
        <w:rPr>
          <w:rFonts w:ascii="宋体" w:hAnsi="宋体" w:cs="宋体" w:hint="eastAsia"/>
          <w:color w:val="000000"/>
          <w:kern w:val="0"/>
          <w:sz w:val="26"/>
          <w:szCs w:val="26"/>
          <w:lang w:bidi="ar"/>
        </w:rPr>
        <w:t>个月。</w:t>
      </w:r>
      <w:proofErr w:type="gramStart"/>
      <w:r w:rsidRPr="000B0C61">
        <w:rPr>
          <w:rFonts w:ascii="宋体" w:hAnsi="宋体" w:cs="宋体" w:hint="eastAsia"/>
          <w:color w:val="000000"/>
          <w:kern w:val="0"/>
          <w:sz w:val="26"/>
          <w:szCs w:val="26"/>
          <w:lang w:bidi="ar"/>
        </w:rPr>
        <w:t>帐单</w:t>
      </w:r>
      <w:proofErr w:type="gramEnd"/>
      <w:r w:rsidRPr="000B0C61">
        <w:rPr>
          <w:rFonts w:ascii="宋体" w:hAnsi="宋体" w:cs="宋体" w:hint="eastAsia"/>
          <w:color w:val="000000"/>
          <w:kern w:val="0"/>
          <w:sz w:val="26"/>
          <w:szCs w:val="26"/>
          <w:lang w:bidi="ar"/>
        </w:rPr>
        <w:t>清晰、准确。建</w:t>
      </w:r>
      <w:r w:rsidRPr="000B0C61">
        <w:rPr>
          <w:rFonts w:ascii="宋体" w:hAnsi="宋体" w:cs="宋体" w:hint="eastAsia"/>
          <w:color w:val="000000"/>
          <w:kern w:val="0"/>
          <w:sz w:val="26"/>
          <w:szCs w:val="26"/>
          <w:lang w:bidi="ar"/>
        </w:rPr>
        <w:t>立</w:t>
      </w:r>
      <w:r w:rsidRPr="000B0C61">
        <w:rPr>
          <w:rFonts w:ascii="宋体" w:hAnsi="宋体" w:cs="宋体" w:hint="eastAsia"/>
          <w:color w:val="000000"/>
          <w:kern w:val="0"/>
          <w:sz w:val="26"/>
          <w:szCs w:val="26"/>
          <w:lang w:bidi="ar"/>
        </w:rPr>
        <w:t>“一车一档”。</w:t>
      </w:r>
    </w:p>
    <w:p w14:paraId="3AF9A2E4" w14:textId="77777777" w:rsidR="00247A34" w:rsidRPr="000B0C61" w:rsidRDefault="00BC4D66">
      <w:pPr>
        <w:widowControl/>
        <w:shd w:val="clear" w:color="auto" w:fill="FFFFFF"/>
        <w:spacing w:after="150" w:line="540" w:lineRule="exact"/>
        <w:ind w:firstLine="840"/>
        <w:rPr>
          <w:rFonts w:ascii="宋体" w:hAnsi="宋体" w:cs="宋体"/>
          <w:color w:val="000000"/>
          <w:kern w:val="0"/>
          <w:sz w:val="26"/>
          <w:szCs w:val="26"/>
          <w:lang w:bidi="ar"/>
        </w:rPr>
      </w:pPr>
      <w:r w:rsidRPr="000B0C61">
        <w:rPr>
          <w:rFonts w:ascii="宋体" w:hAnsi="宋体" w:cs="宋体" w:hint="eastAsia"/>
          <w:color w:val="000000"/>
          <w:kern w:val="0"/>
          <w:sz w:val="26"/>
          <w:szCs w:val="26"/>
          <w:lang w:bidi="ar"/>
        </w:rPr>
        <w:t>4</w:t>
      </w:r>
      <w:r w:rsidRPr="000B0C61">
        <w:rPr>
          <w:rFonts w:ascii="宋体" w:hAnsi="宋体" w:cs="宋体" w:hint="eastAsia"/>
          <w:color w:val="000000"/>
          <w:kern w:val="0"/>
          <w:sz w:val="26"/>
          <w:szCs w:val="26"/>
          <w:lang w:bidi="ar"/>
        </w:rPr>
        <w:t>，每逢重大节日前，组织专业人员上门全车检查，免费对车辆电脑检测，排除安全隐患及时补充机油、防冻液、玻璃水等。</w:t>
      </w:r>
    </w:p>
    <w:p w14:paraId="6CA153B3" w14:textId="77777777" w:rsidR="00247A34" w:rsidRPr="000B0C61" w:rsidRDefault="00BC4D66">
      <w:pPr>
        <w:pStyle w:val="a5"/>
        <w:widowControl/>
        <w:spacing w:beforeAutospacing="0" w:line="540" w:lineRule="exact"/>
        <w:rPr>
          <w:rFonts w:ascii="宋体" w:hAnsi="宋体" w:cs="宋体"/>
          <w:color w:val="000000"/>
          <w:sz w:val="26"/>
          <w:szCs w:val="26"/>
        </w:rPr>
      </w:pPr>
      <w:r w:rsidRPr="000B0C61">
        <w:rPr>
          <w:rFonts w:ascii="宋体" w:hAnsi="宋体" w:cs="宋体" w:hint="eastAsia"/>
          <w:color w:val="000000"/>
          <w:sz w:val="26"/>
          <w:szCs w:val="26"/>
        </w:rPr>
        <w:t>本公司将认真</w:t>
      </w:r>
      <w:r w:rsidRPr="000B0C61">
        <w:rPr>
          <w:rFonts w:ascii="宋体" w:hAnsi="宋体" w:cs="宋体" w:hint="eastAsia"/>
          <w:color w:val="000000"/>
          <w:sz w:val="26"/>
          <w:szCs w:val="26"/>
        </w:rPr>
        <w:t>开展中国药科大</w:t>
      </w:r>
      <w:proofErr w:type="gramStart"/>
      <w:r w:rsidRPr="000B0C61">
        <w:rPr>
          <w:rFonts w:ascii="宋体" w:hAnsi="宋体" w:cs="宋体" w:hint="eastAsia"/>
          <w:color w:val="000000"/>
          <w:sz w:val="26"/>
          <w:szCs w:val="26"/>
        </w:rPr>
        <w:t>学</w:t>
      </w:r>
      <w:r w:rsidRPr="000B0C61">
        <w:rPr>
          <w:rFonts w:ascii="宋体" w:hAnsi="宋体" w:cs="宋体" w:hint="eastAsia"/>
          <w:color w:val="000000"/>
          <w:sz w:val="26"/>
          <w:szCs w:val="26"/>
        </w:rPr>
        <w:t>车辆</w:t>
      </w:r>
      <w:proofErr w:type="gramEnd"/>
      <w:r w:rsidRPr="000B0C61">
        <w:rPr>
          <w:rFonts w:ascii="宋体" w:hAnsi="宋体" w:cs="宋体" w:hint="eastAsia"/>
          <w:color w:val="000000"/>
          <w:sz w:val="26"/>
          <w:szCs w:val="26"/>
        </w:rPr>
        <w:t>维修保养</w:t>
      </w:r>
      <w:r w:rsidRPr="000B0C61">
        <w:rPr>
          <w:rFonts w:ascii="宋体" w:hAnsi="宋体" w:cs="宋体" w:hint="eastAsia"/>
          <w:color w:val="000000"/>
          <w:sz w:val="26"/>
          <w:szCs w:val="26"/>
        </w:rPr>
        <w:t>工作</w:t>
      </w:r>
      <w:r w:rsidRPr="000B0C61">
        <w:rPr>
          <w:rFonts w:ascii="宋体" w:hAnsi="宋体" w:cs="宋体" w:hint="eastAsia"/>
          <w:color w:val="000000"/>
          <w:sz w:val="26"/>
          <w:szCs w:val="26"/>
        </w:rPr>
        <w:t>，</w:t>
      </w:r>
      <w:r w:rsidRPr="000B0C61">
        <w:rPr>
          <w:rFonts w:ascii="宋体" w:hAnsi="宋体" w:cs="宋体" w:hint="eastAsia"/>
          <w:color w:val="000000"/>
          <w:sz w:val="26"/>
          <w:szCs w:val="26"/>
        </w:rPr>
        <w:t>在“</w:t>
      </w:r>
      <w:r w:rsidRPr="000B0C61">
        <w:rPr>
          <w:rFonts w:ascii="宋体" w:hAnsi="宋体" w:cs="宋体" w:hint="eastAsia"/>
          <w:color w:val="000000"/>
          <w:sz w:val="26"/>
          <w:szCs w:val="26"/>
        </w:rPr>
        <w:t>车辆维修保养</w:t>
      </w:r>
      <w:r w:rsidRPr="000B0C61">
        <w:rPr>
          <w:rFonts w:ascii="宋体" w:hAnsi="宋体" w:cs="宋体" w:hint="eastAsia"/>
          <w:color w:val="000000"/>
          <w:sz w:val="26"/>
          <w:szCs w:val="26"/>
        </w:rPr>
        <w:t>服务项目”合同约定终止前，</w:t>
      </w:r>
      <w:proofErr w:type="gramStart"/>
      <w:r w:rsidRPr="000B0C61">
        <w:rPr>
          <w:rFonts w:ascii="宋体" w:hAnsi="宋体" w:cs="宋体" w:hint="eastAsia"/>
          <w:color w:val="000000"/>
          <w:sz w:val="26"/>
          <w:szCs w:val="26"/>
        </w:rPr>
        <w:t>本承</w:t>
      </w:r>
      <w:proofErr w:type="gramEnd"/>
      <w:r w:rsidRPr="000B0C61">
        <w:rPr>
          <w:rFonts w:ascii="宋体" w:hAnsi="宋体" w:cs="宋体" w:hint="eastAsia"/>
          <w:color w:val="000000"/>
          <w:sz w:val="26"/>
          <w:szCs w:val="26"/>
        </w:rPr>
        <w:t>诺书一直有效。</w:t>
      </w:r>
    </w:p>
    <w:p w14:paraId="6A6C74B2" w14:textId="77777777" w:rsidR="00247A34" w:rsidRPr="000B0C61" w:rsidRDefault="00BC4D66" w:rsidP="000B0C61">
      <w:pPr>
        <w:pStyle w:val="a5"/>
        <w:widowControl/>
        <w:jc w:val="right"/>
        <w:rPr>
          <w:rFonts w:ascii="宋体" w:hAnsi="宋体" w:cs="宋体"/>
          <w:color w:val="000000"/>
          <w:sz w:val="26"/>
          <w:szCs w:val="26"/>
        </w:rPr>
      </w:pPr>
      <w:r w:rsidRPr="000B0C61">
        <w:rPr>
          <w:rFonts w:ascii="宋体" w:hAnsi="宋体" w:cs="宋体" w:hint="eastAsia"/>
          <w:color w:val="000000"/>
          <w:sz w:val="26"/>
          <w:szCs w:val="26"/>
        </w:rPr>
        <w:t xml:space="preserve">                             </w:t>
      </w:r>
      <w:r w:rsidRPr="000B0C61">
        <w:rPr>
          <w:rFonts w:ascii="宋体" w:hAnsi="宋体" w:cs="宋体" w:hint="eastAsia"/>
          <w:color w:val="000000"/>
          <w:sz w:val="26"/>
          <w:szCs w:val="26"/>
        </w:rPr>
        <w:t>投标人法定代表人</w:t>
      </w:r>
      <w:r w:rsidRPr="000B0C61">
        <w:rPr>
          <w:rFonts w:ascii="宋体" w:hAnsi="宋体" w:cs="宋体" w:hint="eastAsia"/>
          <w:color w:val="000000"/>
          <w:sz w:val="26"/>
          <w:szCs w:val="26"/>
        </w:rPr>
        <w:t>或授权人</w:t>
      </w:r>
      <w:r w:rsidRPr="000B0C61">
        <w:rPr>
          <w:rFonts w:ascii="宋体" w:hAnsi="宋体" w:cs="宋体" w:hint="eastAsia"/>
          <w:color w:val="000000"/>
          <w:sz w:val="26"/>
          <w:szCs w:val="26"/>
        </w:rPr>
        <w:t>：</w:t>
      </w:r>
    </w:p>
    <w:p w14:paraId="001BBF27" w14:textId="77777777" w:rsidR="00247A34" w:rsidRPr="000B0C61" w:rsidRDefault="00BC4D66" w:rsidP="000B0C61">
      <w:pPr>
        <w:pStyle w:val="a5"/>
        <w:widowControl/>
        <w:jc w:val="right"/>
        <w:rPr>
          <w:rFonts w:ascii="宋体" w:hAnsi="宋体" w:cs="宋体"/>
          <w:color w:val="000000"/>
          <w:sz w:val="26"/>
          <w:szCs w:val="26"/>
        </w:rPr>
      </w:pPr>
      <w:r w:rsidRPr="000B0C61">
        <w:rPr>
          <w:rFonts w:ascii="宋体" w:hAnsi="宋体" w:cs="宋体" w:hint="eastAsia"/>
          <w:color w:val="000000"/>
          <w:sz w:val="26"/>
          <w:szCs w:val="26"/>
        </w:rPr>
        <w:t xml:space="preserve">                      </w:t>
      </w:r>
      <w:r w:rsidRPr="000B0C61">
        <w:rPr>
          <w:rFonts w:ascii="宋体" w:hAnsi="宋体" w:cs="宋体" w:hint="eastAsia"/>
          <w:color w:val="000000"/>
          <w:sz w:val="26"/>
          <w:szCs w:val="26"/>
        </w:rPr>
        <w:t>（投标人公章）</w:t>
      </w:r>
    </w:p>
    <w:p w14:paraId="0EAA1D0F" w14:textId="77777777" w:rsidR="00247A34" w:rsidRPr="000B0C61" w:rsidRDefault="00BC4D66" w:rsidP="000B0C61">
      <w:pPr>
        <w:pStyle w:val="a5"/>
        <w:widowControl/>
        <w:jc w:val="right"/>
        <w:rPr>
          <w:rFonts w:ascii="宋体" w:hAnsi="宋体" w:cs="宋体"/>
          <w:sz w:val="26"/>
          <w:szCs w:val="26"/>
        </w:rPr>
      </w:pPr>
      <w:r w:rsidRPr="000B0C61">
        <w:rPr>
          <w:rFonts w:ascii="宋体" w:hAnsi="宋体" w:cs="宋体" w:hint="eastAsia"/>
          <w:color w:val="000000"/>
          <w:sz w:val="26"/>
          <w:szCs w:val="26"/>
        </w:rPr>
        <w:t xml:space="preserve">                   </w:t>
      </w:r>
      <w:r w:rsidRPr="000B0C61">
        <w:rPr>
          <w:rFonts w:ascii="宋体" w:hAnsi="宋体" w:cs="宋体" w:hint="eastAsia"/>
          <w:color w:val="000000"/>
          <w:sz w:val="26"/>
          <w:szCs w:val="26"/>
        </w:rPr>
        <w:t>年</w:t>
      </w:r>
      <w:r w:rsidRPr="000B0C61">
        <w:rPr>
          <w:rFonts w:ascii="宋体" w:hAnsi="宋体" w:cs="宋体" w:hint="eastAsia"/>
          <w:color w:val="000000"/>
          <w:sz w:val="26"/>
          <w:szCs w:val="26"/>
        </w:rPr>
        <w:t xml:space="preserve"> </w:t>
      </w:r>
      <w:r w:rsidRPr="000B0C61">
        <w:rPr>
          <w:rFonts w:ascii="宋体" w:hAnsi="宋体" w:cs="宋体" w:hint="eastAsia"/>
          <w:color w:val="000000"/>
          <w:sz w:val="26"/>
          <w:szCs w:val="26"/>
        </w:rPr>
        <w:t>月</w:t>
      </w:r>
      <w:r w:rsidRPr="000B0C61">
        <w:rPr>
          <w:rFonts w:ascii="宋体" w:hAnsi="宋体" w:cs="宋体" w:hint="eastAsia"/>
          <w:color w:val="000000"/>
          <w:sz w:val="26"/>
          <w:szCs w:val="26"/>
        </w:rPr>
        <w:t xml:space="preserve"> </w:t>
      </w:r>
      <w:r w:rsidRPr="000B0C61">
        <w:rPr>
          <w:rFonts w:ascii="宋体" w:hAnsi="宋体" w:cs="宋体" w:hint="eastAsia"/>
          <w:color w:val="000000"/>
          <w:sz w:val="26"/>
          <w:szCs w:val="26"/>
        </w:rPr>
        <w:t>日</w:t>
      </w:r>
    </w:p>
    <w:sectPr w:rsidR="00247A34" w:rsidRPr="000B0C61">
      <w:pgSz w:w="16838" w:h="11906" w:orient="landscape"/>
      <w:pgMar w:top="1080" w:right="1440" w:bottom="108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83C6A" w14:textId="77777777" w:rsidR="00BC4D66" w:rsidRDefault="00BC4D66" w:rsidP="000B0C61">
      <w:r>
        <w:separator/>
      </w:r>
    </w:p>
  </w:endnote>
  <w:endnote w:type="continuationSeparator" w:id="0">
    <w:p w14:paraId="5F5088B4" w14:textId="77777777" w:rsidR="00BC4D66" w:rsidRDefault="00BC4D66" w:rsidP="000B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00"/>
    <w:family w:val="auto"/>
    <w:pitch w:val="default"/>
  </w:font>
  <w:font w:name="Noto Sans SC">
    <w:panose1 w:val="020B0200000000000000"/>
    <w:charset w:val="86"/>
    <w:family w:val="swiss"/>
    <w:pitch w:val="variable"/>
    <w:sig w:usb0="20000287" w:usb1="2ADF3C10" w:usb2="00000016" w:usb3="00000000" w:csb0="000601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95D14" w14:textId="77777777" w:rsidR="00BC4D66" w:rsidRDefault="00BC4D66" w:rsidP="000B0C61">
      <w:r>
        <w:separator/>
      </w:r>
    </w:p>
  </w:footnote>
  <w:footnote w:type="continuationSeparator" w:id="0">
    <w:p w14:paraId="3A854B99" w14:textId="77777777" w:rsidR="00BC4D66" w:rsidRDefault="00BC4D66" w:rsidP="000B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E3"/>
    <w:rsid w:val="00086D26"/>
    <w:rsid w:val="000B0C61"/>
    <w:rsid w:val="00230854"/>
    <w:rsid w:val="00235050"/>
    <w:rsid w:val="00247A34"/>
    <w:rsid w:val="002F1237"/>
    <w:rsid w:val="003C697F"/>
    <w:rsid w:val="004C07FE"/>
    <w:rsid w:val="005868DC"/>
    <w:rsid w:val="006821E6"/>
    <w:rsid w:val="00696CE3"/>
    <w:rsid w:val="006B4E06"/>
    <w:rsid w:val="00711F71"/>
    <w:rsid w:val="00750838"/>
    <w:rsid w:val="00857192"/>
    <w:rsid w:val="008635C4"/>
    <w:rsid w:val="008A18FE"/>
    <w:rsid w:val="008B478A"/>
    <w:rsid w:val="008E7A4E"/>
    <w:rsid w:val="00966839"/>
    <w:rsid w:val="00A161D3"/>
    <w:rsid w:val="00B91896"/>
    <w:rsid w:val="00BC4D66"/>
    <w:rsid w:val="00BF6267"/>
    <w:rsid w:val="00D734D4"/>
    <w:rsid w:val="00E52949"/>
    <w:rsid w:val="00E84CDA"/>
    <w:rsid w:val="012D5339"/>
    <w:rsid w:val="02E32745"/>
    <w:rsid w:val="03224678"/>
    <w:rsid w:val="037A1AD1"/>
    <w:rsid w:val="040E4E9E"/>
    <w:rsid w:val="05A028B1"/>
    <w:rsid w:val="1D6372A4"/>
    <w:rsid w:val="1D9B008F"/>
    <w:rsid w:val="257275C5"/>
    <w:rsid w:val="27606603"/>
    <w:rsid w:val="2AD01C1B"/>
    <w:rsid w:val="2F6E2769"/>
    <w:rsid w:val="341113B0"/>
    <w:rsid w:val="34960C27"/>
    <w:rsid w:val="34ED6A76"/>
    <w:rsid w:val="35C12962"/>
    <w:rsid w:val="371F2036"/>
    <w:rsid w:val="3C5A461E"/>
    <w:rsid w:val="408E00E6"/>
    <w:rsid w:val="434368E9"/>
    <w:rsid w:val="45682953"/>
    <w:rsid w:val="54B90F7D"/>
    <w:rsid w:val="5E5841EB"/>
    <w:rsid w:val="5E986CD4"/>
    <w:rsid w:val="615126A1"/>
    <w:rsid w:val="61E64264"/>
    <w:rsid w:val="66B517E0"/>
    <w:rsid w:val="674128E9"/>
    <w:rsid w:val="69902D33"/>
    <w:rsid w:val="6F9C422A"/>
    <w:rsid w:val="79D60C18"/>
    <w:rsid w:val="7A743D2B"/>
    <w:rsid w:val="7C402716"/>
    <w:rsid w:val="7E81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0D0B8"/>
  <w15:docId w15:val="{19A5B515-E200-4C2E-8835-6C581735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Normal Indent"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adjustRightInd w:val="0"/>
      <w:ind w:firstLine="420"/>
      <w:jc w:val="left"/>
      <w:textAlignment w:val="baseline"/>
    </w:pPr>
    <w:rPr>
      <w:sz w:val="24"/>
    </w:rPr>
  </w:style>
  <w:style w:type="paragraph" w:styleId="4">
    <w:name w:val="index 4"/>
    <w:basedOn w:val="a"/>
    <w:next w:val="a"/>
    <w:uiPriority w:val="99"/>
    <w:unhideWhenUsed/>
    <w:qFormat/>
    <w:pPr>
      <w:ind w:leftChars="600" w:left="600"/>
    </w:pPr>
    <w:rPr>
      <w:rFonts w:ascii="Verdana" w:hAnsi="Verdana"/>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pPr>
      <w:spacing w:beforeAutospacing="1" w:afterAutospacing="1"/>
      <w:jc w:val="left"/>
    </w:pPr>
    <w:rPr>
      <w:kern w:val="0"/>
      <w:sz w:val="24"/>
    </w:rPr>
  </w:style>
  <w:style w:type="character" w:styleId="a6">
    <w:name w:val="Hyperlink"/>
    <w:basedOn w:val="a0"/>
    <w:uiPriority w:val="99"/>
    <w:qFormat/>
    <w:rPr>
      <w:rFonts w:cs="Times New Roman"/>
      <w:color w:val="0000FF"/>
      <w:u w:val="single"/>
    </w:rPr>
  </w:style>
  <w:style w:type="character" w:customStyle="1" w:styleId="font41">
    <w:name w:val="font41"/>
    <w:basedOn w:val="a0"/>
    <w:rPr>
      <w:rFonts w:ascii="Times New Roman" w:hAnsi="Times New Roman" w:cs="Times New Roman" w:hint="default"/>
      <w:color w:val="000000"/>
      <w:sz w:val="20"/>
      <w:szCs w:val="20"/>
      <w:u w:val="none"/>
    </w:rPr>
  </w:style>
  <w:style w:type="character" w:customStyle="1" w:styleId="font31">
    <w:name w:val="font31"/>
    <w:basedOn w:val="a0"/>
    <w:rPr>
      <w:rFonts w:ascii="仿宋_GB2312" w:eastAsia="仿宋_GB2312" w:cs="仿宋_GB2312" w:hint="default"/>
      <w:color w:val="000000"/>
      <w:sz w:val="20"/>
      <w:szCs w:val="20"/>
      <w:u w:val="none"/>
    </w:rPr>
  </w:style>
  <w:style w:type="character" w:customStyle="1" w:styleId="font61">
    <w:name w:val="font61"/>
    <w:basedOn w:val="a0"/>
    <w:rPr>
      <w:rFonts w:ascii="Calibri" w:hAnsi="Calibri" w:cs="Calibri"/>
      <w:color w:val="000000"/>
      <w:sz w:val="24"/>
      <w:szCs w:val="24"/>
      <w:u w:val="none"/>
    </w:rPr>
  </w:style>
  <w:style w:type="character" w:customStyle="1" w:styleId="font11">
    <w:name w:val="font11"/>
    <w:basedOn w:val="a0"/>
    <w:qFormat/>
    <w:rPr>
      <w:rFonts w:ascii="仿宋_GB2312" w:eastAsia="仿宋_GB2312" w:cs="仿宋_GB2312" w:hint="default"/>
      <w:color w:val="000000"/>
      <w:sz w:val="24"/>
      <w:szCs w:val="24"/>
      <w:u w:val="none"/>
    </w:rPr>
  </w:style>
  <w:style w:type="paragraph" w:styleId="a7">
    <w:name w:val="header"/>
    <w:basedOn w:val="a"/>
    <w:link w:val="a8"/>
    <w:rsid w:val="000B0C6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B0C6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HYS</cp:lastModifiedBy>
  <cp:revision>5</cp:revision>
  <dcterms:created xsi:type="dcterms:W3CDTF">2025-11-17T05:43:00Z</dcterms:created>
  <dcterms:modified xsi:type="dcterms:W3CDTF">2026-03-10T08:37:00Z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eyJoZGlkIjoiMzFiNTI1YzYzOTVlMTIxYWY0OTRhOGY3MDBmNmFlOGIiLCJ1c2VySWQiOiIxNTcxMzc5MTE5In0=</vt:lpwstr>
  </property>
  <property fmtid="{D5CDD505-2E9C-101B-9397-08002B2CF9AE}" pid="4" name="ICV">
    <vt:lpwstr>A0D8ED5240DC4A0BA2BB73045D73618B_13</vt:lpwstr>
  </property>
</Properties>
</file>